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3GPP</w:t>
      </w:r>
      <w:r>
        <w:rPr>
          <w:rFonts w:hint="eastAsia" w:ascii="Arial" w:hAnsi="Arial" w:eastAsia="宋体" w:cs="Arial"/>
          <w:b/>
          <w:color w:val="auto"/>
          <w:sz w:val="24"/>
          <w:lang w:val="en-US" w:eastAsia="zh-CN"/>
        </w:rPr>
        <w:t xml:space="preserve"> </w:t>
      </w:r>
      <w:r>
        <w:rPr>
          <w:rFonts w:ascii="Arial" w:hAnsi="Arial" w:cs="Arial"/>
          <w:b/>
          <w:color w:val="auto"/>
          <w:sz w:val="24"/>
        </w:rPr>
        <w:t xml:space="preserve">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2305027</w:t>
      </w:r>
      <w:bookmarkStart w:id="1" w:name="_GoBack"/>
      <w:bookmarkEnd w:id="1"/>
    </w:p>
    <w:p>
      <w:pPr>
        <w:tabs>
          <w:tab w:val="left" w:pos="3106"/>
          <w:tab w:val="center" w:pos="4536"/>
          <w:tab w:val="right" w:pos="9072"/>
        </w:tabs>
        <w:jc w:val="both"/>
        <w:outlineLvl w:val="0"/>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Redcap positioning</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5.23.3.4</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lang w:val="en-US" w:eastAsia="zh-CN"/>
        </w:rPr>
      </w:pPr>
      <w:r>
        <w:t xml:space="preserve">The Rel-18 </w:t>
      </w:r>
      <w:r>
        <w:rPr>
          <w:rFonts w:hint="eastAsia" w:eastAsia="宋体"/>
          <w:lang w:val="en-US" w:eastAsia="zh-CN"/>
        </w:rPr>
        <w:t>WID</w:t>
      </w:r>
      <w:r>
        <w:t xml:space="preserve"> [1] investigates positioning accuracy enhancement with advanced techniques of </w:t>
      </w:r>
      <w:r>
        <w:rPr>
          <w:rFonts w:hint="eastAsia" w:eastAsia="宋体"/>
          <w:highlight w:val="none"/>
          <w:lang w:val="en-US" w:eastAsia="zh-CN"/>
        </w:rPr>
        <w:t xml:space="preserve"> proposed the Redcap positioning. </w:t>
      </w:r>
      <w:r>
        <w:t>RAN4 has been assigned the</w:t>
      </w:r>
      <w:r>
        <w:rPr>
          <w:rFonts w:hint="eastAsia" w:eastAsia="宋体"/>
          <w:lang w:val="en-US" w:eastAsia="zh-CN"/>
        </w:rPr>
        <w:t xml:space="preserve"> </w:t>
      </w:r>
      <w:r>
        <w:t>following objective</w:t>
      </w:r>
      <w:r>
        <w:rPr>
          <w:rFonts w:hint="eastAsia" w:eastAsia="宋体"/>
          <w:lang w:val="en-US" w:eastAsia="zh-CN"/>
        </w:rPr>
        <w:t>s</w:t>
      </w:r>
      <w:r>
        <w:t>.</w:t>
      </w:r>
      <w:r>
        <w:rPr>
          <w:rFonts w:hint="eastAsia" w:eastAsia="宋体"/>
          <w:lang w:val="en-US" w:eastAsia="zh-CN"/>
        </w:rPr>
        <w:t xml:space="preserve">   FR1 FR2 check</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support of positioning for UEs with Reduced Capabilities (RedCap UEs)</w:t>
            </w:r>
          </w:p>
          <w:p>
            <w:pPr>
              <w:numPr>
                <w:ilvl w:val="1"/>
                <w:numId w:val="3"/>
              </w:numPr>
              <w:rPr>
                <w:rFonts w:eastAsia="MS Mincho"/>
                <w:lang w:val="en-US" w:eastAsia="ko-KR"/>
              </w:rPr>
            </w:pPr>
            <w:r>
              <w:rPr>
                <w:rFonts w:eastAsia="MS Mincho"/>
                <w:lang w:val="en-US" w:eastAsia="ko-KR"/>
              </w:rPr>
              <w:t xml:space="preserve">Specify support of Frequency Hopping (FH) beyond maximum RedCap UE bandwidth for reception of DL PRS </w:t>
            </w:r>
            <w:r>
              <w:rPr>
                <w:rFonts w:hint="eastAsia"/>
                <w:lang w:val="en-US" w:eastAsia="zh-CN"/>
              </w:rPr>
              <w:t>and</w:t>
            </w:r>
            <w:r>
              <w:rPr>
                <w:rFonts w:eastAsia="MS Mincho"/>
                <w:lang w:val="en-US" w:eastAsia="ko-KR"/>
              </w:rPr>
              <w:t xml:space="preserve"> transmission of UL SRS for positioning [RAN1, RAN2].</w:t>
            </w:r>
          </w:p>
          <w:p>
            <w:pPr>
              <w:numPr>
                <w:ilvl w:val="2"/>
                <w:numId w:val="3"/>
              </w:numPr>
              <w:rPr>
                <w:rFonts w:eastAsia="MS Mincho"/>
                <w:lang w:val="en-US" w:eastAsia="ko-KR"/>
              </w:rPr>
            </w:pPr>
            <w:r>
              <w:rPr>
                <w:rFonts w:eastAsia="MS Mincho"/>
                <w:lang w:val="en-US" w:eastAsia="ko-KR"/>
              </w:rPr>
              <w:t>NOTE: The complexity of the corresponding capabilities for RedCap UEs should be addressed for the introduction of appropriate capabilities for RedCap UEs.</w:t>
            </w:r>
          </w:p>
          <w:p>
            <w:pPr>
              <w:numPr>
                <w:ilvl w:val="1"/>
                <w:numId w:val="3"/>
              </w:numPr>
              <w:overflowPunct/>
              <w:autoSpaceDE/>
              <w:autoSpaceDN/>
              <w:adjustRightInd/>
              <w:spacing w:after="0"/>
              <w:textAlignment w:val="auto"/>
              <w:rPr>
                <w:b/>
                <w:bCs/>
              </w:rPr>
            </w:pPr>
            <w:r>
              <w:rPr>
                <w:rFonts w:eastAsia="MS Mincho"/>
                <w:highlight w:val="yellow"/>
                <w:lang w:val="en-US" w:eastAsia="ko-KR"/>
              </w:rPr>
              <w:t>Specify RRM requirements for positioning including RRM measurements and procedures for RedCap UEs for both with and without frequency hopping [RAN4].</w:t>
            </w:r>
          </w:p>
          <w:p>
            <w:pPr>
              <w:numPr>
                <w:ilvl w:val="0"/>
                <w:numId w:val="0"/>
              </w:numPr>
              <w:overflowPunct/>
              <w:autoSpaceDE/>
              <w:autoSpaceDN/>
              <w:adjustRightInd/>
              <w:spacing w:after="0"/>
              <w:textAlignment w:val="auto"/>
              <w:rPr>
                <w:b/>
                <w:bCs/>
              </w:rPr>
            </w:pP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eastAsia="宋体"/>
          <w:lang w:val="en-US" w:eastAsia="zh-CN"/>
        </w:rPr>
      </w:pPr>
      <w:r>
        <w:rPr>
          <w:rFonts w:hint="eastAsia" w:eastAsia="宋体"/>
          <w:lang w:val="en-US" w:eastAsia="zh-CN"/>
        </w:rPr>
        <w:t>In the last meeting, we mainly discussed the PRS measurement requirements without frequency hopping. However, based on RAN1 progress, we shall consider the with frequency hopping in this meeting.</w:t>
      </w: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PRS measurement with frequency hopping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Firstly we shall clarify the scenario for the frequency. The bandwidth of the positioning reference signal is larger than the UE channel bandwidth, and it is not possible to effectively transmit traffic at this time. If frequency hopping is used, the existing problem can be solved. For example, currently for redcap UEs, the effective bandwidth in FR1 is 20 MHz, so using frequency hopping increases the bandwidth from 20 MHz to 80 MHz. Equivalent to transmitting a PRS with a bandwidth of 80 MHz.For both uplink and downlink frequency hopping supported by the UE, the UE needs to report the maximum number of frequency hopping supported. For each frequency hopping, the maximum PRS bandwidth supported depends on the current UE's capabilities. Currently, the bandwidth is 20 MHz in FR1 and 100 MHz in FR2. If in FR1, the maximum bandwidth of the PRS is 20 MHz, and the UE reports a maximum of 4 frequency hops. After cascading, the total bandwidth that can be achieved is 80 MHz. During this process, the UE reports its capabilities, and the network side evaluates and configures the UE, depending on the network configuration,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sz w:val="20"/>
          <w:szCs w:val="20"/>
        </w:rPr>
        <w:object>
          <v:shape id="_x0000_i1025" o:spt="75" type="#_x0000_t75" style="height:151.5pt;width:258.0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1 frequency hopping</w:t>
      </w:r>
    </w:p>
    <w:p>
      <w:pPr>
        <w:jc w:val="both"/>
        <w:rPr>
          <w:rFonts w:hint="default"/>
          <w:lang w:val="en-US" w:eastAsia="zh-CN"/>
        </w:rPr>
      </w:pPr>
      <w:r>
        <w:rPr>
          <w:rFonts w:hint="default"/>
          <w:lang w:val="en-US" w:eastAsia="zh-CN"/>
        </w:rPr>
        <w:t>The following specific analysis of the configuration of RS frequency hopping mainly discusses two effective situations, as follows:</w:t>
      </w:r>
    </w:p>
    <w:p>
      <w:pPr>
        <w:numPr>
          <w:ilvl w:val="0"/>
          <w:numId w:val="4"/>
        </w:numPr>
        <w:jc w:val="both"/>
        <w:rPr>
          <w:rFonts w:hint="default"/>
          <w:lang w:val="en-US" w:eastAsia="zh-CN"/>
        </w:rPr>
      </w:pPr>
      <w:r>
        <w:rPr>
          <w:rFonts w:hint="eastAsia"/>
          <w:lang w:val="en-US" w:eastAsia="zh-CN"/>
        </w:rPr>
        <w:t>Frequency hopping within one resource</w:t>
      </w:r>
    </w:p>
    <w:p>
      <w:pPr>
        <w:numPr>
          <w:ilvl w:val="0"/>
          <w:numId w:val="0"/>
        </w:numPr>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3122295" cy="1979930"/>
            <wp:effectExtent l="0" t="0" r="0" b="0"/>
            <wp:docPr id="7" name="图片 7"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opping 1"/>
                    <pic:cNvPicPr>
                      <a:picLocks noChangeAspect="1"/>
                    </pic:cNvPicPr>
                  </pic:nvPicPr>
                  <pic:blipFill>
                    <a:blip r:embed="rId8"/>
                    <a:stretch>
                      <a:fillRect/>
                    </a:stretch>
                  </pic:blipFill>
                  <pic:spPr>
                    <a:xfrm>
                      <a:off x="0" y="0"/>
                      <a:ext cx="3122295" cy="1979930"/>
                    </a:xfrm>
                    <a:prstGeom prst="rect">
                      <a:avLst/>
                    </a:prstGeom>
                  </pic:spPr>
                </pic:pic>
              </a:graphicData>
            </a:graphic>
          </wp:inline>
        </w:drawing>
      </w:r>
    </w:p>
    <w:p>
      <w:pPr>
        <w:numPr>
          <w:ilvl w:val="0"/>
          <w:numId w:val="0"/>
        </w:numPr>
        <w:jc w:val="center"/>
        <w:rPr>
          <w:rFonts w:hint="eastAsia" w:eastAsia="宋体"/>
          <w:kern w:val="2"/>
          <w:sz w:val="20"/>
          <w:szCs w:val="20"/>
          <w:lang w:val="en-US" w:eastAsia="zh-CN"/>
        </w:rPr>
      </w:pPr>
      <w:r>
        <w:rPr>
          <w:rFonts w:hint="eastAsia" w:eastAsia="宋体"/>
          <w:kern w:val="2"/>
          <w:sz w:val="20"/>
          <w:szCs w:val="20"/>
          <w:lang w:val="en-US" w:eastAsia="zh-CN"/>
        </w:rPr>
        <w:t>Figure 2 frequency hopping within one resource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kern w:val="2"/>
          <w:sz w:val="20"/>
          <w:szCs w:val="20"/>
        </w:rPr>
      </w:pPr>
      <w:r>
        <w:rPr>
          <w:rFonts w:hint="default" w:eastAsia="宋体"/>
          <w:kern w:val="2"/>
          <w:sz w:val="20"/>
          <w:szCs w:val="20"/>
          <w:lang w:val="en-US" w:eastAsia="zh-CN"/>
        </w:rPr>
        <w:t>Divide a resource into several parts</w:t>
      </w:r>
      <w:r>
        <w:rPr>
          <w:rFonts w:hint="eastAsia" w:eastAsia="宋体"/>
          <w:kern w:val="2"/>
          <w:sz w:val="20"/>
          <w:szCs w:val="20"/>
          <w:lang w:val="en-US" w:eastAsia="zh-CN"/>
        </w:rPr>
        <w:t xml:space="preserve"> in frequency domain</w:t>
      </w:r>
      <w:r>
        <w:rPr>
          <w:rFonts w:hint="default" w:eastAsia="宋体"/>
          <w:kern w:val="2"/>
          <w:sz w:val="20"/>
          <w:szCs w:val="20"/>
          <w:lang w:val="en-US" w:eastAsia="zh-CN"/>
        </w:rPr>
        <w:t>, each corresponding to a hop, receive these hops in different symbols, and finally combine them</w:t>
      </w:r>
      <w:r>
        <w:rPr>
          <w:rFonts w:hint="eastAsia" w:eastAsia="宋体"/>
          <w:kern w:val="2"/>
          <w:sz w:val="20"/>
          <w:szCs w:val="20"/>
          <w:lang w:val="en-US" w:eastAsia="zh-CN"/>
        </w:rPr>
        <w:t xml:space="preserve"> and </w:t>
      </w:r>
      <w:r>
        <w:rPr>
          <w:rFonts w:hint="eastAsia" w:ascii="Times New Roman" w:hAnsi="Times New Roman" w:eastAsia="宋体"/>
          <w:kern w:val="2"/>
          <w:sz w:val="20"/>
          <w:szCs w:val="20"/>
        </w:rPr>
        <w:t>the three hopping parts refer to different symbols of one RS resource.</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kern w:val="2"/>
          <w:sz w:val="20"/>
          <w:szCs w:val="20"/>
          <w:lang w:val="en-US" w:eastAsia="zh-CN"/>
        </w:rPr>
      </w:pPr>
      <w:r>
        <w:rPr>
          <w:rFonts w:hint="eastAsia" w:ascii="Times New Roman" w:hAnsi="Times New Roman" w:eastAsia="宋体"/>
          <w:kern w:val="2"/>
          <w:sz w:val="20"/>
          <w:szCs w:val="20"/>
          <w:lang w:val="en-US" w:eastAsia="zh-CN"/>
        </w:rPr>
        <w:t>Frequency hopping within one resource set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4414520" cy="2016125"/>
            <wp:effectExtent l="0" t="0" r="0" b="0"/>
            <wp:docPr id="16" name="图片 16"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opping 2"/>
                    <pic:cNvPicPr>
                      <a:picLocks noChangeAspect="1"/>
                    </pic:cNvPicPr>
                  </pic:nvPicPr>
                  <pic:blipFill>
                    <a:blip r:embed="rId9"/>
                    <a:stretch>
                      <a:fillRect/>
                    </a:stretch>
                  </pic:blipFill>
                  <pic:spPr>
                    <a:xfrm>
                      <a:off x="0" y="0"/>
                      <a:ext cx="4414520" cy="201612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eastAsia" w:eastAsia="宋体"/>
          <w:kern w:val="2"/>
          <w:sz w:val="20"/>
          <w:szCs w:val="20"/>
          <w:lang w:val="en-US" w:eastAsia="zh-CN"/>
        </w:rPr>
      </w:pPr>
      <w:r>
        <w:rPr>
          <w:rFonts w:hint="eastAsia" w:eastAsia="宋体"/>
          <w:kern w:val="2"/>
          <w:sz w:val="20"/>
          <w:szCs w:val="20"/>
          <w:lang w:val="en-US" w:eastAsia="zh-CN"/>
        </w:rPr>
        <w:t>Figure 3 frequency hopping within one resource set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left"/>
        <w:textAlignment w:val="auto"/>
        <w:rPr>
          <w:rFonts w:hint="default" w:eastAsia="宋体"/>
          <w:kern w:val="2"/>
          <w:sz w:val="20"/>
          <w:szCs w:val="20"/>
          <w:lang w:val="en-US" w:eastAsia="zh-CN"/>
        </w:rPr>
      </w:pPr>
      <w:r>
        <w:rPr>
          <w:rFonts w:hint="default" w:eastAsia="宋体"/>
          <w:kern w:val="2"/>
          <w:sz w:val="20"/>
          <w:szCs w:val="20"/>
          <w:lang w:val="en-US" w:eastAsia="zh-CN"/>
        </w:rPr>
        <w:t>A resource set contains different resources, such as resource 1, resource 2, and resource 3.</w:t>
      </w:r>
      <w:r>
        <w:rPr>
          <w:rFonts w:hint="eastAsia" w:eastAsia="宋体"/>
          <w:kern w:val="2"/>
          <w:sz w:val="20"/>
          <w:szCs w:val="20"/>
          <w:lang w:val="en-US" w:eastAsia="zh-CN"/>
        </w:rPr>
        <w:t xml:space="preserve">... </w:t>
      </w:r>
      <w:r>
        <w:rPr>
          <w:rFonts w:hint="default" w:eastAsia="宋体"/>
          <w:kern w:val="2"/>
          <w:sz w:val="20"/>
          <w:szCs w:val="20"/>
          <w:lang w:val="en-US" w:eastAsia="zh-CN"/>
        </w:rPr>
        <w:t>However, the frequency range of these different resources is inconsistent. Therefore, using similar methods, different resources correspond to different hops, and ultimately different resources are c</w:t>
      </w:r>
      <w:r>
        <w:rPr>
          <w:rFonts w:hint="eastAsia" w:eastAsia="宋体"/>
          <w:kern w:val="2"/>
          <w:sz w:val="20"/>
          <w:szCs w:val="20"/>
          <w:lang w:val="en-US" w:eastAsia="zh-CN"/>
        </w:rPr>
        <w:t>ombined as a whole</w:t>
      </w:r>
      <w:r>
        <w:rPr>
          <w:rFonts w:hint="default" w:eastAsia="宋体"/>
          <w:kern w:val="2"/>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eastAsia="宋体"/>
          <w:kern w:val="2"/>
          <w:sz w:val="20"/>
          <w:szCs w:val="20"/>
          <w:lang w:val="en-US" w:eastAsia="zh-CN"/>
        </w:rPr>
      </w:pPr>
      <w:r>
        <w:rPr>
          <w:rFonts w:hint="eastAsia" w:eastAsia="宋体"/>
          <w:kern w:val="2"/>
          <w:sz w:val="20"/>
          <w:szCs w:val="20"/>
          <w:lang w:val="en-US" w:eastAsia="zh-CN"/>
        </w:rPr>
        <w:t xml:space="preserve">Based on the above scenarios, it is likely to clarify the scenario of the DL-PRS measurement frequency hopping. This scenario is mainly based on the RAN4 legacy issue. In R16/R17 positioning, when a measurement gap measures DL-PRS, only PRS measurements are performed. PRS is sent periodically, and measurements are performed in a measurement gap. UE can measure DL-PRS resources inside or outside (different numerology) active DL BWP. In such case, it is straightforward to support UE to measure and process DL-PRS resource of multiple frequency hops during a configured measurement gap. During this repetition process, a portion of  PRS is selected as below (which can be 20 MHz, as previously mentioned, the redcap UE is 20 MHz in FR1). </w:t>
      </w:r>
      <w:r>
        <w:rPr>
          <w:rFonts w:hint="eastAsia" w:eastAsia="宋体"/>
          <w:kern w:val="2"/>
          <w:sz w:val="20"/>
          <w:szCs w:val="20"/>
          <w:highlight w:val="yellow"/>
          <w:lang w:val="en-US" w:eastAsia="zh-CN"/>
        </w:rPr>
        <w:t xml:space="preserve"> 24 25pattern check</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eastAsiaTheme="minorEastAsia"/>
        </w:rPr>
      </w:pPr>
      <w:r>
        <w:rPr>
          <w:rFonts w:eastAsiaTheme="minorEastAsia"/>
        </w:rPr>
        <w:drawing>
          <wp:inline distT="0" distB="0" distL="0" distR="0">
            <wp:extent cx="4109720" cy="265747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17289" cy="2662758"/>
                    </a:xfrm>
                    <a:prstGeom prst="rect">
                      <a:avLst/>
                    </a:prstGeom>
                    <a:noFill/>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eastAsia" w:eastAsiaTheme="minorEastAsia"/>
          <w:lang w:val="en-US" w:eastAsia="zh-CN"/>
        </w:rPr>
      </w:pPr>
      <w:r>
        <w:rPr>
          <w:rFonts w:hint="eastAsia" w:eastAsiaTheme="minorEastAsia"/>
          <w:lang w:val="en-US" w:eastAsia="zh-CN"/>
        </w:rPr>
        <w:t xml:space="preserve">   Figure 4  DL-PRS frequency hopping inside the MG</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eastAsiaTheme="minorEastAsia"/>
        </w:rPr>
      </w:pPr>
      <w:r>
        <w:rPr>
          <w:rFonts w:hint="eastAsia" w:eastAsiaTheme="minorEastAsia"/>
        </w:rPr>
        <w:t xml:space="preserve">For DL-PRS frequency hopping transmission, we prefer the </w:t>
      </w:r>
      <w:r>
        <w:rPr>
          <w:rFonts w:hint="eastAsia" w:eastAsiaTheme="minorEastAsia"/>
          <w:lang w:val="en-US" w:eastAsia="zh-CN"/>
        </w:rPr>
        <w:t>legacy</w:t>
      </w:r>
      <w:r>
        <w:rPr>
          <w:rFonts w:hint="eastAsia" w:eastAsiaTheme="minorEastAsia"/>
        </w:rPr>
        <w:t xml:space="preserve"> mechanism without frequency hopping transmission. The transmitted DL-PRS is feasible for both RedCap UE and eMBB UE, and RedCap UEs receive the corresponding DL-PRS in a frequency hopping manner, as shown in Figure </w:t>
      </w:r>
      <w:r>
        <w:rPr>
          <w:rFonts w:hint="eastAsia" w:eastAsiaTheme="minorEastAsia"/>
          <w:lang w:val="en-US" w:eastAsia="zh-CN"/>
        </w:rPr>
        <w:t>5</w:t>
      </w:r>
      <w:r>
        <w:rPr>
          <w:rFonts w:hint="eastAsia" w:eastAsiaTheme="minorEastAsia"/>
        </w:rPr>
        <w:t>. If so, the impact of specifications will be relatively small. In addition, even if DL-PRS frequency hopping is configured to the UE for equivalent large bandwidth PRS transmission/reception/measurement, sometimes the UE does not have to combine measurements from multiple frequency hopping. For example, in a case where PRS is configured for broadcasting all UEs in a serving cell, but the location accuracy requirements of UEs are not high. In this case, the UE should also report the hop index used for the location measurement results.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eastAsiaTheme="minorEastAsia"/>
          <w:lang w:val="en-US" w:eastAsia="zh-CN"/>
        </w:rPr>
      </w:pPr>
      <w:r>
        <w:rPr>
          <w:rFonts w:eastAsiaTheme="minorEastAsia"/>
        </w:rPr>
        <w:drawing>
          <wp:inline distT="0" distB="0" distL="0" distR="0">
            <wp:extent cx="3430270" cy="2843530"/>
            <wp:effectExtent l="0" t="0" r="139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47578" cy="2858019"/>
                    </a:xfrm>
                    <a:prstGeom prst="rect">
                      <a:avLst/>
                    </a:prstGeom>
                    <a:noFill/>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200"/>
        <w:jc w:val="center"/>
        <w:textAlignment w:val="auto"/>
        <w:rPr>
          <w:rFonts w:hint="eastAsia" w:eastAsia="宋体"/>
          <w:kern w:val="2"/>
          <w:sz w:val="20"/>
          <w:szCs w:val="20"/>
          <w:lang w:val="en-US" w:eastAsia="zh-CN"/>
        </w:rPr>
      </w:pPr>
      <w:r>
        <w:rPr>
          <w:rFonts w:hint="eastAsia" w:eastAsia="宋体"/>
          <w:kern w:val="2"/>
          <w:sz w:val="20"/>
          <w:szCs w:val="20"/>
          <w:lang w:val="en-US" w:eastAsia="zh-CN"/>
        </w:rPr>
        <w:t>Figure 5  DL-PRS frequency hopping reception</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eastAsia="宋体"/>
          <w:kern w:val="2"/>
          <w:sz w:val="20"/>
          <w:szCs w:val="20"/>
          <w:lang w:val="en-US" w:eastAsia="zh-CN"/>
        </w:rPr>
      </w:pPr>
      <w:r>
        <w:rPr>
          <w:rFonts w:hint="eastAsia" w:eastAsia="宋体"/>
          <w:kern w:val="2"/>
          <w:sz w:val="20"/>
          <w:szCs w:val="20"/>
          <w:lang w:val="en-US" w:eastAsia="zh-CN"/>
        </w:rPr>
        <w:t>We can understand the specific procedure for DL-PRS frequency hopping based on the figure 4 and figure 5.</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eastAsia="宋体"/>
          <w:b/>
          <w:bCs/>
          <w:kern w:val="2"/>
          <w:sz w:val="22"/>
          <w:szCs w:val="22"/>
          <w:lang w:val="en-US" w:eastAsia="zh-CN"/>
        </w:rPr>
      </w:pPr>
      <w:r>
        <w:rPr>
          <w:rFonts w:hint="eastAsia" w:eastAsia="宋体"/>
          <w:b/>
          <w:bCs/>
          <w:kern w:val="2"/>
          <w:sz w:val="22"/>
          <w:szCs w:val="22"/>
          <w:lang w:val="en-US" w:eastAsia="zh-CN"/>
        </w:rPr>
        <w:t>Switching Time between two frequency hops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We have discussed the basic frequency hopping and the procedure of the frequency hopping for DL-PRS especially the frequency hopping reception. However, among the different frequency hops, the switching time delay between the two hops shall be considered and there is a progress in RAN1 as below:</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b/>
          <w:bCs/>
          <w:sz w:val="18"/>
          <w:szCs w:val="18"/>
          <w:lang w:val="en-US" w:eastAsia="zh-CN"/>
        </w:rPr>
      </w:pPr>
      <w:r>
        <w:rPr>
          <w:rFonts w:hint="eastAsia"/>
          <w:b/>
          <w:bCs/>
          <w:sz w:val="18"/>
          <w:szCs w:val="18"/>
          <w:lang w:val="en-US" w:eastAsia="zh-CN"/>
        </w:rPr>
        <w:t>RAN1 #112 meeting</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keepNext w:val="0"/>
              <w:keepLines w:val="0"/>
              <w:pageBreakBefore w:val="0"/>
              <w:widowControl/>
              <w:kinsoku/>
              <w:wordWrap/>
              <w:overflowPunct/>
              <w:topLinePunct w:val="0"/>
              <w:autoSpaceDE/>
              <w:autoSpaceDN/>
              <w:bidi w:val="0"/>
              <w:adjustRightInd/>
              <w:spacing w:line="240" w:lineRule="auto"/>
              <w:textAlignment w:val="auto"/>
              <w:rPr>
                <w:b/>
                <w:bCs w:val="0"/>
                <w:lang w:eastAsia="ja-JP"/>
              </w:rPr>
            </w:pPr>
            <w:r>
              <w:rPr>
                <w:b/>
                <w:highlight w:val="green"/>
                <w:lang w:eastAsia="ja-JP"/>
              </w:rPr>
              <w:t>Agreement</w:t>
            </w:r>
          </w:p>
          <w:p>
            <w:pPr>
              <w:keepNext w:val="0"/>
              <w:keepLines w:val="0"/>
              <w:pageBreakBefore w:val="0"/>
              <w:widowControl/>
              <w:kinsoku/>
              <w:wordWrap/>
              <w:overflowPunct/>
              <w:topLinePunct w:val="0"/>
              <w:autoSpaceDE/>
              <w:autoSpaceDN/>
              <w:bidi w:val="0"/>
              <w:adjustRightInd/>
              <w:spacing w:line="240" w:lineRule="auto"/>
              <w:textAlignment w:val="auto"/>
              <w:rPr>
                <w:lang w:eastAsia="ja-JP"/>
              </w:rPr>
            </w:pPr>
            <w:r>
              <w:rPr>
                <w:lang w:eastAsia="ja-JP"/>
              </w:rPr>
              <w:t>For Positioning enhancements for redcap UEs</w:t>
            </w:r>
            <w:r>
              <w:rPr>
                <w:iCs/>
                <w:lang w:eastAsia="ja-JP"/>
              </w:rPr>
              <w:t xml:space="preserve"> for UL SRS Tx and DL PRS Rx frequency hopping</w:t>
            </w:r>
            <w:r>
              <w:rPr>
                <w:lang w:eastAsia="ja-JP"/>
              </w:rPr>
              <w:t>, from the RAN1 perspective, short switching time to allow RF retuning between adjacent hops may be beneficial in terms of accuracy and latency performance.</w:t>
            </w:r>
          </w:p>
          <w:p>
            <w:pPr>
              <w:keepNext w:val="0"/>
              <w:keepLines w:val="0"/>
              <w:pageBreakBefore w:val="0"/>
              <w:widowControl/>
              <w:numPr>
                <w:ilvl w:val="0"/>
                <w:numId w:val="5"/>
              </w:numPr>
              <w:kinsoku/>
              <w:wordWrap/>
              <w:overflowPunct/>
              <w:topLinePunct w:val="0"/>
              <w:autoSpaceDE/>
              <w:autoSpaceDN/>
              <w:bidi w:val="0"/>
              <w:adjustRightInd/>
              <w:snapToGrid w:val="0"/>
              <w:spacing w:line="240" w:lineRule="auto"/>
              <w:ind w:left="720" w:hanging="363"/>
              <w:contextualSpacing/>
              <w:jc w:val="left"/>
              <w:textAlignment w:val="auto"/>
              <w:rPr>
                <w:rFonts w:hint="eastAsia"/>
                <w:lang w:eastAsia="ja-JP"/>
              </w:rPr>
            </w:pPr>
            <w:r>
              <w:rPr>
                <w:iCs/>
                <w:lang w:eastAsia="ja-JP"/>
              </w:rPr>
              <w:t xml:space="preserve">Send an LS to RAN4 requesting feedback on the feasible values for the switching time between hops, </w:t>
            </w:r>
            <w:r>
              <w:rPr>
                <w:lang w:eastAsia="ja-JP"/>
              </w:rPr>
              <w:t>at least when numerology and bandwidth for each hops can be the same, and the Tx/Rx antennas used in all hops can be the same</w:t>
            </w:r>
            <w:r>
              <w:rPr>
                <w:iCs/>
                <w:lang w:eastAsia="ja-JP"/>
              </w:rPr>
              <w:t>.</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We shall know that the larger the switching gap, the lower the positioning accuracy, the figure 6 illustrates the specific switching time:</w:t>
      </w:r>
    </w:p>
    <w:p>
      <w:pPr>
        <w:jc w:val="center"/>
        <w:rPr>
          <w:rFonts w:ascii="Times New Roman" w:hAnsi="Times New Roman"/>
          <w:sz w:val="20"/>
          <w:szCs w:val="20"/>
        </w:rPr>
      </w:pPr>
      <w:r>
        <w:rPr>
          <w:rFonts w:ascii="Times New Roman" w:hAnsi="Times New Roman"/>
          <w:sz w:val="20"/>
          <w:szCs w:val="20"/>
        </w:rPr>
        <w:drawing>
          <wp:inline distT="0" distB="0" distL="0" distR="0">
            <wp:extent cx="920750" cy="170815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20750" cy="1708150"/>
                    </a:xfrm>
                    <a:prstGeom prst="rect">
                      <a:avLst/>
                    </a:prstGeom>
                    <a:noFill/>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6  frequency hopping with switching time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sz w:val="20"/>
          <w:szCs w:val="20"/>
          <w:lang w:val="en-US" w:eastAsia="zh-CN"/>
        </w:rPr>
      </w:pPr>
      <w:r>
        <w:rPr>
          <w:rFonts w:hint="eastAsia" w:eastAsia="宋体"/>
          <w:b/>
          <w:bCs/>
          <w:sz w:val="20"/>
          <w:szCs w:val="20"/>
          <w:lang w:val="en-US" w:eastAsia="zh-CN"/>
        </w:rPr>
        <w:t>Observation 1: T</w:t>
      </w:r>
      <w:r>
        <w:rPr>
          <w:rFonts w:hint="eastAsia"/>
          <w:b/>
          <w:bCs/>
          <w:lang w:val="en-US" w:eastAsia="zh-CN"/>
        </w:rPr>
        <w:t>he larger the switching gap, the lower the positioning accuracy</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ascii="Times New Roman" w:hAnsi="Times New Roman"/>
          <w:sz w:val="20"/>
          <w:szCs w:val="20"/>
        </w:rPr>
        <w:t>The simulation results for FR1 in InF-SH scenario for evaluating the switching gap impact of</w:t>
      </w:r>
      <w:r>
        <w:rPr>
          <w:rFonts w:hint="eastAsia" w:ascii="Times New Roman" w:hAnsi="Times New Roman"/>
          <w:sz w:val="20"/>
          <w:szCs w:val="20"/>
        </w:rPr>
        <w:t xml:space="preserve"> </w:t>
      </w:r>
      <w:r>
        <w:rPr>
          <w:rFonts w:ascii="Times New Roman" w:hAnsi="Times New Roman"/>
          <w:sz w:val="20"/>
          <w:szCs w:val="20"/>
        </w:rPr>
        <w:t xml:space="preserve">frequency hopping are shown in the following Figure </w:t>
      </w:r>
      <w:r>
        <w:rPr>
          <w:rFonts w:hint="eastAsia" w:eastAsia="宋体"/>
          <w:sz w:val="20"/>
          <w:szCs w:val="20"/>
          <w:lang w:val="en-US" w:eastAsia="zh-CN"/>
        </w:rPr>
        <w:t>7</w:t>
      </w:r>
      <w:r>
        <w:rPr>
          <w:rFonts w:ascii="Times New Roman" w:hAnsi="Times New Roman"/>
          <w:sz w:val="20"/>
          <w:szCs w:val="20"/>
        </w:rPr>
        <w:t xml:space="preserve"> and Table </w:t>
      </w:r>
      <w:r>
        <w:rPr>
          <w:rFonts w:hint="eastAsia" w:eastAsia="宋体"/>
          <w:sz w:val="20"/>
          <w:szCs w:val="20"/>
          <w:lang w:val="en-US" w:eastAsia="zh-CN"/>
        </w:rPr>
        <w:t>1:</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sz w:val="20"/>
          <w:szCs w:val="20"/>
          <w:lang w:val="en-US" w:eastAsia="zh-CN"/>
        </w:rPr>
      </w:pPr>
      <w:r>
        <w:drawing>
          <wp:inline distT="0" distB="0" distL="0" distR="0">
            <wp:extent cx="3903345" cy="2926715"/>
            <wp:effectExtent l="0" t="0" r="13335" b="146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07995" cy="2930662"/>
                    </a:xfrm>
                    <a:prstGeom prst="rect">
                      <a:avLst/>
                    </a:prstGeom>
                    <a:noFill/>
                    <a:ln>
                      <a:noFill/>
                    </a:ln>
                  </pic:spPr>
                </pic:pic>
              </a:graphicData>
            </a:graphic>
          </wp:inline>
        </w:drawing>
      </w:r>
    </w:p>
    <w:p>
      <w:pPr>
        <w:widowControl w:val="0"/>
        <w:snapToGrid w:val="0"/>
        <w:spacing w:before="180" w:beforeLines="50" w:after="180" w:afterLines="50"/>
        <w:jc w:val="center"/>
        <w:rPr>
          <w:rFonts w:ascii="Times New Roman" w:hAnsi="Times New Roman"/>
          <w:sz w:val="20"/>
          <w:szCs w:val="20"/>
        </w:rPr>
      </w:pPr>
      <w:r>
        <w:rPr>
          <w:rFonts w:hint="eastAsia" w:ascii="Times New Roman" w:hAnsi="Times New Roman"/>
          <w:sz w:val="20"/>
          <w:szCs w:val="20"/>
          <w:lang w:val="en-US" w:eastAsia="zh-CN"/>
        </w:rPr>
        <w:t xml:space="preserve">Figure 7 </w:t>
      </w:r>
      <w:r>
        <w:rPr>
          <w:rFonts w:ascii="Times New Roman" w:hAnsi="Times New Roman"/>
          <w:sz w:val="20"/>
          <w:szCs w:val="20"/>
        </w:rPr>
        <w:t>Simulation results for hopping with switching gap for RedCap UE (5 hops, FR 1, InF-SH scenario)</w:t>
      </w:r>
    </w:p>
    <w:p>
      <w:pPr>
        <w:widowControl w:val="0"/>
        <w:snapToGrid w:val="0"/>
        <w:spacing w:before="180" w:beforeLines="50" w:after="180" w:afterLines="50"/>
        <w:jc w:val="center"/>
        <w:rPr>
          <w:rFonts w:ascii="Times New Roman" w:hAnsi="Times New Roman"/>
          <w:sz w:val="20"/>
          <w:szCs w:val="20"/>
        </w:rPr>
      </w:pPr>
    </w:p>
    <w:p>
      <w:pPr>
        <w:widowControl w:val="0"/>
        <w:snapToGrid w:val="0"/>
        <w:spacing w:before="180" w:beforeLines="50" w:after="180" w:afterLines="50"/>
        <w:jc w:val="center"/>
        <w:rPr>
          <w:rFonts w:hint="default" w:ascii="Times New Roman" w:hAnsi="Times New Roman" w:eastAsia="宋体"/>
          <w:sz w:val="20"/>
          <w:szCs w:val="20"/>
          <w:lang w:val="en-US" w:eastAsia="zh-CN"/>
        </w:rPr>
      </w:pPr>
      <w:r>
        <w:rPr>
          <w:rFonts w:hint="eastAsia" w:eastAsia="宋体"/>
          <w:sz w:val="20"/>
          <w:szCs w:val="20"/>
          <w:lang w:val="en-US" w:eastAsia="zh-CN"/>
        </w:rPr>
        <w:t xml:space="preserve">Table 1 </w:t>
      </w:r>
      <w:r>
        <w:rPr>
          <w:rFonts w:ascii="Times New Roman" w:hAnsi="Times New Roman"/>
          <w:sz w:val="20"/>
          <w:szCs w:val="20"/>
        </w:rPr>
        <w:t>Simulation results for hopping with switching gap in FR 1, InF-SH scenario</w:t>
      </w:r>
    </w:p>
    <w:tbl>
      <w:tblPr>
        <w:tblStyle w:val="2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76"/>
        <w:gridCol w:w="993"/>
        <w:gridCol w:w="992"/>
        <w:gridCol w:w="992"/>
        <w:gridCol w:w="992"/>
        <w:gridCol w:w="113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Cases</w:t>
            </w:r>
          </w:p>
        </w:tc>
        <w:tc>
          <w:tcPr>
            <w:tcW w:w="993"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50%</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67%</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80%</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90%</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Requirements met? (Yes/No)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 47, InF-SH FR1, 5x20 MHz, gap 0ms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.25</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.34</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.48</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.62</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 48, InF-SH FR1, 5x20 MHz, gap 0.1ms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.24</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.33</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.45</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.62</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 49, InF-SH FR1, 5x20 MHz, gap 0.2ms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.25</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.37</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.48</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.61</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 50, InF-SH FR1, 5x20 MHz, gap 0.5ms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.27</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.37</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.57</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.75</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ascii="Times New Roman" w:hAnsi="Times New Roman"/>
                <w:sz w:val="20"/>
                <w:szCs w:val="20"/>
                <w:highlight w:val="yellow"/>
              </w:rPr>
              <w:t>Case 51, InF-SH FR1, 5x20 MHz, gap 1ms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hint="eastAsia" w:ascii="Times New Roman" w:hAnsi="Times New Roman"/>
                <w:sz w:val="20"/>
                <w:szCs w:val="20"/>
                <w:highlight w:val="yellow"/>
              </w:rPr>
              <w:t>C</w:t>
            </w:r>
            <w:r>
              <w:rPr>
                <w:rFonts w:ascii="Times New Roman" w:hAnsi="Times New Roman"/>
                <w:sz w:val="20"/>
                <w:szCs w:val="20"/>
                <w:highlight w:val="yellow"/>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hint="eastAsia" w:ascii="Times New Roman" w:hAnsi="Times New Roman"/>
                <w:sz w:val="20"/>
                <w:szCs w:val="20"/>
                <w:highlight w:val="yellow"/>
              </w:rPr>
              <w:t>0</w:t>
            </w:r>
            <w:r>
              <w:rPr>
                <w:rFonts w:ascii="Times New Roman" w:hAnsi="Times New Roman"/>
                <w:sz w:val="20"/>
                <w:szCs w:val="20"/>
                <w:highlight w:val="yellow"/>
              </w:rPr>
              <w:t>.35</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hint="eastAsia" w:ascii="Times New Roman" w:hAnsi="Times New Roman"/>
                <w:sz w:val="20"/>
                <w:szCs w:val="20"/>
                <w:highlight w:val="yellow"/>
              </w:rPr>
              <w:t>0</w:t>
            </w:r>
            <w:r>
              <w:rPr>
                <w:rFonts w:ascii="Times New Roman" w:hAnsi="Times New Roman"/>
                <w:sz w:val="20"/>
                <w:szCs w:val="20"/>
                <w:highlight w:val="yellow"/>
              </w:rPr>
              <w:t>.48</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hint="eastAsia" w:ascii="Times New Roman" w:hAnsi="Times New Roman"/>
                <w:sz w:val="20"/>
                <w:szCs w:val="20"/>
                <w:highlight w:val="yellow"/>
              </w:rPr>
              <w:t>0</w:t>
            </w:r>
            <w:r>
              <w:rPr>
                <w:rFonts w:ascii="Times New Roman" w:hAnsi="Times New Roman"/>
                <w:sz w:val="20"/>
                <w:szCs w:val="20"/>
                <w:highlight w:val="yellow"/>
              </w:rPr>
              <w:t>.63</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hint="eastAsia" w:ascii="Times New Roman" w:hAnsi="Times New Roman"/>
                <w:sz w:val="20"/>
                <w:szCs w:val="20"/>
                <w:highlight w:val="yellow"/>
              </w:rPr>
              <w:t>0</w:t>
            </w:r>
            <w:r>
              <w:rPr>
                <w:rFonts w:ascii="Times New Roman" w:hAnsi="Times New Roman"/>
                <w:sz w:val="20"/>
                <w:szCs w:val="20"/>
                <w:highlight w:val="yellow"/>
              </w:rPr>
              <w:t>.77</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highlight w:val="yellow"/>
              </w:rPr>
            </w:pPr>
            <w:r>
              <w:rPr>
                <w:rFonts w:hint="eastAsia" w:ascii="Times New Roman" w:hAnsi="Times New Roman"/>
                <w:sz w:val="20"/>
                <w:szCs w:val="20"/>
                <w:highlight w:val="yellow"/>
              </w:rPr>
              <w:t>Y</w:t>
            </w:r>
            <w:r>
              <w:rPr>
                <w:rFonts w:ascii="Times New Roman" w:hAnsi="Times New Roman"/>
                <w:sz w:val="20"/>
                <w:szCs w:val="20"/>
                <w:highlight w:val="yellow"/>
              </w:rPr>
              <w: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 52, InF-SH FR1, 5x20 MHz, gap 2ms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.60</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.71</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.86</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.02</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6"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Case 53, InF-SH FR1, 5x20 MHz, gap 5ms</w:t>
            </w:r>
          </w:p>
        </w:tc>
        <w:tc>
          <w:tcPr>
            <w:tcW w:w="993" w:type="dxa"/>
            <w:vAlign w:val="center"/>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.36</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.58</w:t>
            </w:r>
          </w:p>
        </w:tc>
        <w:tc>
          <w:tcPr>
            <w:tcW w:w="992"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.78</w:t>
            </w:r>
          </w:p>
        </w:tc>
        <w:tc>
          <w:tcPr>
            <w:tcW w:w="1134"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hint="eastAsia" w:ascii="Times New Roman" w:hAnsi="Times New Roman"/>
                <w:sz w:val="20"/>
                <w:szCs w:val="20"/>
              </w:rPr>
              <w:t>2</w:t>
            </w:r>
            <w:r>
              <w:rPr>
                <w:rFonts w:ascii="Times New Roman" w:hAnsi="Times New Roman"/>
                <w:sz w:val="20"/>
                <w:szCs w:val="20"/>
              </w:rPr>
              <w:t>.18</w:t>
            </w:r>
          </w:p>
        </w:tc>
        <w:tc>
          <w:tcPr>
            <w:tcW w:w="1701" w:type="dxa"/>
          </w:tcPr>
          <w:p>
            <w:pPr>
              <w:widowControl w:val="0"/>
              <w:overflowPunct w:val="0"/>
              <w:autoSpaceDE w:val="0"/>
              <w:autoSpaceDN w:val="0"/>
              <w:adjustRightInd w:val="0"/>
              <w:snapToGrid w:val="0"/>
              <w:spacing w:after="0" w:line="240" w:lineRule="auto"/>
              <w:jc w:val="center"/>
              <w:textAlignment w:val="baseline"/>
              <w:rPr>
                <w:rFonts w:ascii="Times New Roman" w:hAnsi="Times New Roman"/>
                <w:sz w:val="20"/>
                <w:szCs w:val="20"/>
              </w:rPr>
            </w:pPr>
            <w:r>
              <w:rPr>
                <w:rFonts w:ascii="Times New Roman" w:hAnsi="Times New Roman"/>
                <w:sz w:val="20"/>
                <w:szCs w:val="20"/>
              </w:rPr>
              <w:t>No</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As the illustrations shown,  when the switching time is lager than 1ms, the requirements won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t be met, therefore, when RAN4 define the switching time should follow this result.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lang w:val="en-US" w:eastAsia="zh-CN"/>
        </w:rPr>
      </w:pPr>
      <w:r>
        <w:rPr>
          <w:rFonts w:eastAsiaTheme="minorEastAsia"/>
        </w:rPr>
        <w:t xml:space="preserve">In current specs, BWP switching can be achieved via three ways, including </w:t>
      </w:r>
      <w:r>
        <w:rPr>
          <w:lang w:val="en-GB"/>
        </w:rPr>
        <w:t xml:space="preserve">DCI-based, </w:t>
      </w:r>
      <w:r>
        <w:rPr>
          <w:rFonts w:hint="eastAsia" w:eastAsia="宋体"/>
          <w:lang w:val="en-US" w:eastAsia="zh-CN"/>
        </w:rPr>
        <w:t>T</w:t>
      </w:r>
      <w:r>
        <w:rPr>
          <w:lang w:val="en-GB"/>
        </w:rPr>
        <w:t xml:space="preserve">imer-based and RRC-based. For DCI and </w:t>
      </w:r>
      <w:r>
        <w:rPr>
          <w:rFonts w:hint="eastAsia" w:eastAsia="宋体"/>
          <w:lang w:val="en-US" w:eastAsia="zh-CN"/>
        </w:rPr>
        <w:t>T</w:t>
      </w:r>
      <w:r>
        <w:rPr>
          <w:lang w:val="en-GB"/>
        </w:rPr>
        <w:t xml:space="preserve">imer-based BWP switching mechanisms, BWP switch delay requirements as specified in 3GPP TS 38.133. For RRC-based BWP switching, </w:t>
      </w:r>
      <w:r>
        <w:rPr>
          <w:rFonts w:hint="eastAsia" w:eastAsia="宋体"/>
          <w:lang w:val="en-US" w:eastAsia="zh-CN"/>
        </w:rPr>
        <w:t xml:space="preserve">the switching delay is </w:t>
      </w:r>
      <w:r>
        <w:rPr>
          <w:rFonts w:hint="eastAsia" w:eastAsia="宋体"/>
          <w:b/>
          <w:bCs/>
          <w:lang w:val="en-US" w:eastAsia="zh-CN"/>
        </w:rPr>
        <w:t>6ms.</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eastAsia" w:eastAsia="宋体"/>
          <w:lang w:val="en-US" w:eastAsia="zh-CN"/>
        </w:rPr>
        <w:t>Table 2   BWP switching delay(DCI_based and Timer_based)</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42"/>
            </w:pPr>
            <w:r>
              <w:rPr>
                <w:lang w:val="en-US" w:eastAsia="zh-CN"/>
              </w:rPr>
              <w:drawing>
                <wp:inline distT="0" distB="0" distL="0" distR="0">
                  <wp:extent cx="142875" cy="161925"/>
                  <wp:effectExtent l="0" t="0" r="9525" b="0"/>
                  <wp:docPr id="1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42"/>
            </w:pPr>
            <w:r>
              <w:t>NR Slot length (ms)</w:t>
            </w:r>
          </w:p>
        </w:tc>
        <w:tc>
          <w:tcPr>
            <w:tcW w:w="3938" w:type="dxa"/>
            <w:gridSpan w:val="2"/>
          </w:tcPr>
          <w:p>
            <w:pPr>
              <w:pStyle w:val="42"/>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42"/>
            </w:pPr>
          </w:p>
        </w:tc>
        <w:tc>
          <w:tcPr>
            <w:tcW w:w="992" w:type="dxa"/>
            <w:vMerge w:val="continue"/>
          </w:tcPr>
          <w:p>
            <w:pPr>
              <w:pStyle w:val="42"/>
            </w:pPr>
          </w:p>
        </w:tc>
        <w:tc>
          <w:tcPr>
            <w:tcW w:w="1969" w:type="dxa"/>
          </w:tcPr>
          <w:p>
            <w:pPr>
              <w:pStyle w:val="42"/>
              <w:rPr>
                <w:vertAlign w:val="superscript"/>
                <w:lang w:eastAsia="zh-CN"/>
              </w:rPr>
            </w:pPr>
            <w:r>
              <w:rPr>
                <w:lang w:eastAsia="zh-CN"/>
              </w:rPr>
              <w:t>Type 1</w:t>
            </w:r>
            <w:r>
              <w:rPr>
                <w:vertAlign w:val="superscript"/>
                <w:lang w:eastAsia="zh-CN"/>
              </w:rPr>
              <w:t>Note 1</w:t>
            </w:r>
          </w:p>
        </w:tc>
        <w:tc>
          <w:tcPr>
            <w:tcW w:w="1969" w:type="dxa"/>
          </w:tcPr>
          <w:p>
            <w:pPr>
              <w:pStyle w:val="42"/>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43"/>
            </w:pPr>
            <w:r>
              <w:t>0</w:t>
            </w:r>
          </w:p>
        </w:tc>
        <w:tc>
          <w:tcPr>
            <w:tcW w:w="992" w:type="dxa"/>
          </w:tcPr>
          <w:p>
            <w:pPr>
              <w:pStyle w:val="43"/>
            </w:pPr>
            <w:r>
              <w:t>1</w:t>
            </w:r>
          </w:p>
        </w:tc>
        <w:tc>
          <w:tcPr>
            <w:tcW w:w="1969" w:type="dxa"/>
            <w:shd w:val="clear" w:color="auto" w:fill="auto"/>
          </w:tcPr>
          <w:p>
            <w:pPr>
              <w:pStyle w:val="43"/>
            </w:pPr>
            <w:r>
              <w:t xml:space="preserve">1 </w:t>
            </w:r>
          </w:p>
        </w:tc>
        <w:tc>
          <w:tcPr>
            <w:tcW w:w="1969" w:type="dxa"/>
          </w:tcPr>
          <w:p>
            <w:pPr>
              <w:pStyle w:val="43"/>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43"/>
            </w:pPr>
            <w:r>
              <w:t>1</w:t>
            </w:r>
          </w:p>
        </w:tc>
        <w:tc>
          <w:tcPr>
            <w:tcW w:w="992" w:type="dxa"/>
          </w:tcPr>
          <w:p>
            <w:pPr>
              <w:pStyle w:val="43"/>
            </w:pPr>
            <w:r>
              <w:t>0.5</w:t>
            </w:r>
          </w:p>
        </w:tc>
        <w:tc>
          <w:tcPr>
            <w:tcW w:w="1969" w:type="dxa"/>
            <w:shd w:val="clear" w:color="auto" w:fill="auto"/>
          </w:tcPr>
          <w:p>
            <w:pPr>
              <w:pStyle w:val="43"/>
            </w:pPr>
            <w:r>
              <w:t xml:space="preserve">2 </w:t>
            </w:r>
          </w:p>
        </w:tc>
        <w:tc>
          <w:tcPr>
            <w:tcW w:w="1969" w:type="dxa"/>
          </w:tcPr>
          <w:p>
            <w:pPr>
              <w:pStyle w:val="4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43"/>
            </w:pPr>
            <w:r>
              <w:t>2</w:t>
            </w:r>
          </w:p>
        </w:tc>
        <w:tc>
          <w:tcPr>
            <w:tcW w:w="992" w:type="dxa"/>
          </w:tcPr>
          <w:p>
            <w:pPr>
              <w:pStyle w:val="43"/>
            </w:pPr>
            <w:r>
              <w:t>0.25</w:t>
            </w:r>
          </w:p>
        </w:tc>
        <w:tc>
          <w:tcPr>
            <w:tcW w:w="1969" w:type="dxa"/>
            <w:shd w:val="clear" w:color="auto" w:fill="auto"/>
          </w:tcPr>
          <w:p>
            <w:pPr>
              <w:pStyle w:val="43"/>
            </w:pPr>
            <w:r>
              <w:t>3</w:t>
            </w:r>
          </w:p>
        </w:tc>
        <w:tc>
          <w:tcPr>
            <w:tcW w:w="1969" w:type="dxa"/>
          </w:tcPr>
          <w:p>
            <w:pPr>
              <w:pStyle w:val="4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43"/>
            </w:pPr>
            <w:r>
              <w:t>3</w:t>
            </w:r>
          </w:p>
        </w:tc>
        <w:tc>
          <w:tcPr>
            <w:tcW w:w="992" w:type="dxa"/>
          </w:tcPr>
          <w:p>
            <w:pPr>
              <w:pStyle w:val="43"/>
            </w:pPr>
            <w:r>
              <w:t>0.125</w:t>
            </w:r>
          </w:p>
        </w:tc>
        <w:tc>
          <w:tcPr>
            <w:tcW w:w="1969" w:type="dxa"/>
            <w:shd w:val="clear" w:color="auto" w:fill="auto"/>
          </w:tcPr>
          <w:p>
            <w:pPr>
              <w:pStyle w:val="43"/>
            </w:pPr>
            <w:r>
              <w:t>6</w:t>
            </w:r>
          </w:p>
        </w:tc>
        <w:tc>
          <w:tcPr>
            <w:tcW w:w="1969" w:type="dxa"/>
          </w:tcPr>
          <w:p>
            <w:pPr>
              <w:pStyle w:val="43"/>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56"/>
            </w:pPr>
            <w:r>
              <w:t>Note 1:</w:t>
            </w:r>
            <w:r>
              <w:tab/>
            </w:r>
            <w:r>
              <w:t>Depends on UE capability.</w:t>
            </w:r>
          </w:p>
          <w:p>
            <w:pPr>
              <w:pStyle w:val="56"/>
            </w:pPr>
            <w:r>
              <w:t>Note 2:</w:t>
            </w:r>
            <w:r>
              <w:tab/>
            </w:r>
            <w:r>
              <w:t>If the BWP switch involves changing of SCS, the BWP switch delay is determined by the larger one between the SCS before BWP switch and the SCS after BWP switch.</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szCs w:val="20"/>
          <w:lang w:val="en-US" w:eastAsia="zh-CN"/>
        </w:rPr>
      </w:pPr>
      <w:r>
        <w:rPr>
          <w:rFonts w:hint="eastAsia" w:eastAsia="宋体"/>
          <w:sz w:val="20"/>
          <w:szCs w:val="20"/>
          <w:lang w:val="en-US" w:eastAsia="zh-CN"/>
        </w:rPr>
        <w:t>However, frequency h</w:t>
      </w:r>
      <w:r>
        <w:rPr>
          <w:rFonts w:hint="eastAsia" w:ascii="Times New Roman" w:hAnsi="Times New Roman" w:eastAsia="宋体"/>
          <w:sz w:val="20"/>
          <w:szCs w:val="20"/>
          <w:lang w:val="en-US" w:eastAsia="zh-CN"/>
        </w:rPr>
        <w:t xml:space="preserve">opping may require </w:t>
      </w:r>
      <w:r>
        <w:rPr>
          <w:rFonts w:hint="eastAsia" w:ascii="Times New Roman" w:hAnsi="Times New Roman" w:eastAsia="宋体"/>
          <w:b/>
          <w:bCs/>
          <w:sz w:val="20"/>
          <w:szCs w:val="20"/>
          <w:lang w:val="en-US" w:eastAsia="zh-CN"/>
        </w:rPr>
        <w:t>a shorter gap</w:t>
      </w:r>
      <w:r>
        <w:rPr>
          <w:rFonts w:hint="eastAsia" w:ascii="Times New Roman" w:hAnsi="Times New Roman" w:eastAsia="宋体"/>
          <w:sz w:val="20"/>
          <w:szCs w:val="20"/>
          <w:lang w:val="en-US" w:eastAsia="zh-CN"/>
        </w:rPr>
        <w:t xml:space="preserve"> than BWP switching time (including DCI-based and time-based)</w:t>
      </w:r>
      <w:r>
        <w:rPr>
          <w:rFonts w:hint="eastAsia" w:eastAsia="宋体"/>
          <w:sz w:val="20"/>
          <w:szCs w:val="20"/>
          <w:lang w:val="en-US" w:eastAsia="zh-CN"/>
        </w:rPr>
        <w:t xml:space="preserve">. In the current spec such as </w:t>
      </w:r>
      <w:r>
        <w:rPr>
          <w:rFonts w:hint="eastAsia" w:eastAsia="宋体"/>
          <w:b/>
          <w:bCs/>
          <w:sz w:val="20"/>
          <w:szCs w:val="20"/>
          <w:lang w:val="en-US" w:eastAsia="zh-CN"/>
        </w:rPr>
        <w:t>TS 38.133</w:t>
      </w:r>
      <w:r>
        <w:rPr>
          <w:rFonts w:hint="eastAsia" w:eastAsia="宋体"/>
          <w:sz w:val="20"/>
          <w:szCs w:val="20"/>
          <w:lang w:val="en-US" w:eastAsia="zh-CN"/>
        </w:rPr>
        <w:t>, we have the existed RF retuning time (RRT) which is shorter than the BWP switching time and when defining the switching time between the two frequency hops, we can follow the existed switching time values as below:</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tcPr>
          <w:p>
            <w:pPr>
              <w:rPr>
                <w:rFonts w:hint="default" w:eastAsia="宋体"/>
                <w:sz w:val="20"/>
                <w:szCs w:val="20"/>
                <w:vertAlign w:val="baseline"/>
                <w:lang w:val="en-US" w:eastAsia="zh-CN"/>
              </w:rPr>
            </w:pPr>
            <w: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highlight w:val="yellow"/>
              </w:rPr>
              <w:t>Switching time is 0.5ms for frequency range FR1 and 0.25ms for frequency range FR2</w:t>
            </w:r>
            <w:r>
              <w:t>.</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0"/>
          <w:szCs w:val="20"/>
          <w:lang w:val="en-US" w:eastAsia="zh-CN"/>
        </w:rPr>
      </w:pPr>
      <w:r>
        <w:rPr>
          <w:rFonts w:hint="eastAsia" w:eastAsia="宋体"/>
          <w:sz w:val="20"/>
          <w:szCs w:val="20"/>
          <w:lang w:val="en-US" w:eastAsia="zh-CN"/>
        </w:rPr>
        <w:t>The values of RRT is microseconds level and shorter than the BWP switching time (RRC_based BWP switching time is 6ms) which satisfy the frequency hopping switching time.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b/>
          <w:bCs/>
          <w:sz w:val="20"/>
          <w:szCs w:val="20"/>
          <w:lang w:val="en-US" w:eastAsia="zh-CN"/>
        </w:rPr>
      </w:pPr>
      <w:r>
        <w:rPr>
          <w:rFonts w:hint="eastAsia" w:ascii="Times New Roman" w:hAnsi="Times New Roman" w:eastAsia="宋体"/>
          <w:b/>
          <w:bCs/>
          <w:sz w:val="20"/>
          <w:szCs w:val="20"/>
          <w:lang w:val="en-US" w:eastAsia="zh-CN"/>
        </w:rPr>
        <w:t xml:space="preserve">Observation </w:t>
      </w:r>
      <w:r>
        <w:rPr>
          <w:rFonts w:hint="eastAsia" w:eastAsia="宋体"/>
          <w:b/>
          <w:bCs/>
          <w:sz w:val="20"/>
          <w:szCs w:val="20"/>
          <w:lang w:val="en-US" w:eastAsia="zh-CN"/>
        </w:rPr>
        <w:t>2</w:t>
      </w:r>
      <w:r>
        <w:rPr>
          <w:rFonts w:hint="eastAsia" w:ascii="Times New Roman" w:hAnsi="Times New Roman" w:eastAsia="宋体"/>
          <w:b/>
          <w:bCs/>
          <w:sz w:val="20"/>
          <w:szCs w:val="20"/>
          <w:lang w:val="en-US" w:eastAsia="zh-CN"/>
        </w:rPr>
        <w:t xml:space="preserve">: </w:t>
      </w:r>
      <w:r>
        <w:rPr>
          <w:rFonts w:hint="eastAsia" w:eastAsia="宋体"/>
          <w:b/>
          <w:bCs/>
          <w:sz w:val="20"/>
          <w:szCs w:val="20"/>
          <w:lang w:val="en-US" w:eastAsia="zh-CN"/>
        </w:rPr>
        <w:t>The values of RF retuning time (RRT) is microseconds level and shorter than the BWP switching time (RRC_based BWP switching time is 6ms) which satisfy the frequency hopping switching time.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Reuse the current switching time RRT</w:t>
      </w:r>
      <w:r>
        <w:rPr>
          <w:rFonts w:hint="eastAsia" w:eastAsia="宋体"/>
          <w:b/>
          <w:bCs/>
          <w:sz w:val="20"/>
          <w:szCs w:val="20"/>
          <w:lang w:val="en-US" w:eastAsia="zh-CN"/>
        </w:rPr>
        <w:t xml:space="preserve"> </w:t>
      </w:r>
      <w:r>
        <w:rPr>
          <w:rFonts w:hint="eastAsia" w:hAnsi="Cambria Math" w:eastAsia="宋体"/>
          <w:b/>
          <w:bCs/>
          <w:i w:val="0"/>
          <w:iCs/>
          <w:lang w:val="en-US" w:eastAsia="zh-CN"/>
        </w:rPr>
        <w:t>for frequency hopping in redcap positioning.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b/>
          <w:bCs/>
          <w:i w:val="0"/>
          <w:iCs/>
          <w:lang w:val="en-US" w:eastAsia="zh-CN"/>
        </w:rPr>
      </w:pPr>
      <w:r>
        <w:rPr>
          <w:rFonts w:hint="eastAsia" w:hAnsi="Cambria Math" w:eastAsia="宋体"/>
          <w:b/>
          <w:bCs/>
          <w:i w:val="0"/>
          <w:iCs/>
          <w:lang w:val="en-US" w:eastAsia="zh-CN"/>
        </w:rPr>
        <w:t xml:space="preserve">Proposal 2: When defining the new switching time requirements for frequency hopping in redcap positioning, the current switching time </w:t>
      </w:r>
      <w:r>
        <w:rPr>
          <w:rFonts w:hint="eastAsia" w:eastAsia="宋体"/>
          <w:b/>
          <w:bCs/>
          <w:sz w:val="20"/>
          <w:szCs w:val="20"/>
          <w:lang w:val="en-US" w:eastAsia="zh-CN"/>
        </w:rPr>
        <w:t>RRT</w:t>
      </w:r>
      <w:r>
        <w:rPr>
          <w:rFonts w:hint="eastAsia" w:hAnsi="Cambria Math" w:eastAsia="宋体"/>
          <w:b/>
          <w:bCs/>
          <w:i w:val="0"/>
          <w:iCs/>
          <w:lang w:val="en-US" w:eastAsia="zh-CN"/>
        </w:rPr>
        <w:t xml:space="preserve"> can be as baseline or a starting point. </w:t>
      </w:r>
    </w:p>
    <w:p>
      <w:pPr>
        <w:pStyle w:val="74"/>
        <w:rPr>
          <w:lang w:val="en-US"/>
        </w:rPr>
      </w:pPr>
      <w:r>
        <w:rPr>
          <w:lang w:val="en-US"/>
        </w:rPr>
        <w:t>Conclusion</w:t>
      </w:r>
    </w:p>
    <w:p>
      <w:pPr>
        <w:rPr>
          <w:rFonts w:hint="eastAsia" w:eastAsia="宋体"/>
          <w:lang w:val="en-US" w:eastAsia="zh-CN"/>
        </w:rPr>
      </w:pPr>
      <w:r>
        <w:rPr>
          <w:lang w:val="en-GB"/>
        </w:rPr>
        <w:t xml:space="preserve">The following </w:t>
      </w:r>
      <w:r>
        <w:rPr>
          <w:rFonts w:hint="eastAsia" w:eastAsia="宋体"/>
          <w:lang w:val="en-US" w:eastAsia="zh-CN"/>
        </w:rPr>
        <w:t xml:space="preserve">observations and </w:t>
      </w:r>
      <w:r>
        <w:rPr>
          <w:lang w:val="en-GB"/>
        </w:rPr>
        <w:t>proposals are made</w:t>
      </w:r>
      <w:r>
        <w:rPr>
          <w:rFonts w:hint="eastAsia" w:eastAsia="宋体"/>
          <w:lang w:val="en-US" w:eastAsia="zh-CN"/>
        </w:rPr>
        <w:t>:</w:t>
      </w:r>
    </w:p>
    <w:p>
      <w:pPr>
        <w:outlineLvl w:val="0"/>
        <w:rPr>
          <w:rFonts w:hint="eastAsia" w:eastAsia="宋体"/>
          <w:b/>
          <w:bCs/>
          <w:sz w:val="21"/>
          <w:szCs w:val="21"/>
          <w:lang w:val="en-US" w:eastAsia="zh-CN"/>
        </w:rPr>
      </w:pPr>
      <w:r>
        <w:rPr>
          <w:rFonts w:hint="eastAsia" w:eastAsia="宋体"/>
          <w:b/>
          <w:bCs/>
          <w:sz w:val="21"/>
          <w:szCs w:val="21"/>
          <w:lang w:val="en-US" w:eastAsia="zh-CN"/>
        </w:rPr>
        <w:t>Observations: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sz w:val="20"/>
          <w:szCs w:val="20"/>
          <w:lang w:val="en-US" w:eastAsia="zh-CN"/>
        </w:rPr>
      </w:pPr>
      <w:r>
        <w:rPr>
          <w:rFonts w:hint="eastAsia" w:eastAsia="宋体"/>
          <w:b/>
          <w:bCs/>
          <w:sz w:val="20"/>
          <w:szCs w:val="20"/>
          <w:lang w:val="en-US" w:eastAsia="zh-CN"/>
        </w:rPr>
        <w:t>Observation 1: T</w:t>
      </w:r>
      <w:r>
        <w:rPr>
          <w:rFonts w:hint="eastAsia"/>
          <w:b/>
          <w:bCs/>
          <w:lang w:val="en-US" w:eastAsia="zh-CN"/>
        </w:rPr>
        <w:t>he larger the switching gap, the lower the positioning accuracy</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b/>
          <w:bCs/>
          <w:sz w:val="20"/>
          <w:szCs w:val="20"/>
          <w:lang w:val="en-US" w:eastAsia="zh-CN"/>
        </w:rPr>
      </w:pPr>
      <w:r>
        <w:rPr>
          <w:rFonts w:hint="eastAsia" w:ascii="Times New Roman" w:hAnsi="Times New Roman" w:eastAsia="宋体"/>
          <w:b/>
          <w:bCs/>
          <w:sz w:val="20"/>
          <w:szCs w:val="20"/>
          <w:lang w:val="en-US" w:eastAsia="zh-CN"/>
        </w:rPr>
        <w:t xml:space="preserve">Observation </w:t>
      </w:r>
      <w:r>
        <w:rPr>
          <w:rFonts w:hint="eastAsia" w:eastAsia="宋体"/>
          <w:b/>
          <w:bCs/>
          <w:sz w:val="20"/>
          <w:szCs w:val="20"/>
          <w:lang w:val="en-US" w:eastAsia="zh-CN"/>
        </w:rPr>
        <w:t>2</w:t>
      </w:r>
      <w:r>
        <w:rPr>
          <w:rFonts w:hint="eastAsia" w:ascii="Times New Roman" w:hAnsi="Times New Roman" w:eastAsia="宋体"/>
          <w:b/>
          <w:bCs/>
          <w:sz w:val="20"/>
          <w:szCs w:val="20"/>
          <w:lang w:val="en-US" w:eastAsia="zh-CN"/>
        </w:rPr>
        <w:t xml:space="preserve">: </w:t>
      </w:r>
      <w:r>
        <w:rPr>
          <w:rFonts w:hint="eastAsia" w:eastAsia="宋体"/>
          <w:b/>
          <w:bCs/>
          <w:sz w:val="20"/>
          <w:szCs w:val="20"/>
          <w:lang w:val="en-US" w:eastAsia="zh-CN"/>
        </w:rPr>
        <w:t>The values of RF retuning time (RRT) is microseconds level and shorter than the BWP switching time (RRC_based BWP switching time is 6ms) which satisfy the frequency hopping switching time.</w:t>
      </w:r>
    </w:p>
    <w:p>
      <w:pPr>
        <w:rPr>
          <w:rFonts w:hint="default" w:eastAsia="宋体"/>
          <w:b/>
          <w:bCs/>
          <w:sz w:val="22"/>
          <w:szCs w:val="22"/>
          <w:lang w:val="en-US" w:eastAsia="zh-CN"/>
        </w:rPr>
      </w:pPr>
      <w:r>
        <w:rPr>
          <w:rFonts w:hint="eastAsia" w:eastAsia="宋体"/>
          <w:b/>
          <w:bCs/>
          <w:sz w:val="22"/>
          <w:szCs w:val="22"/>
          <w:lang w:val="en-US" w:eastAsia="zh-CN"/>
        </w:rPr>
        <w:t>Proposals: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Reuse the current switching time RRT</w:t>
      </w:r>
      <w:r>
        <w:rPr>
          <w:rFonts w:hint="eastAsia" w:eastAsia="宋体"/>
          <w:b/>
          <w:bCs/>
          <w:sz w:val="20"/>
          <w:szCs w:val="20"/>
          <w:lang w:val="en-US" w:eastAsia="zh-CN"/>
        </w:rPr>
        <w:t xml:space="preserve"> </w:t>
      </w:r>
      <w:r>
        <w:rPr>
          <w:rFonts w:hint="eastAsia" w:hAnsi="Cambria Math" w:eastAsia="宋体"/>
          <w:b/>
          <w:bCs/>
          <w:i w:val="0"/>
          <w:iCs/>
          <w:lang w:val="en-US" w:eastAsia="zh-CN"/>
        </w:rPr>
        <w:t>for frequency hopping in redcap positioning.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b/>
          <w:bCs/>
          <w:i w:val="0"/>
          <w:iCs/>
          <w:lang w:val="en-US" w:eastAsia="zh-CN"/>
        </w:rPr>
      </w:pPr>
      <w:r>
        <w:rPr>
          <w:rFonts w:hint="eastAsia" w:hAnsi="Cambria Math" w:eastAsia="宋体"/>
          <w:b/>
          <w:bCs/>
          <w:i w:val="0"/>
          <w:iCs/>
          <w:lang w:val="en-US" w:eastAsia="zh-CN"/>
        </w:rPr>
        <w:t xml:space="preserve">Proposal 2: When defining the new switching time requirements for frequency hopping in redcap positioning, the current switching time </w:t>
      </w:r>
      <w:r>
        <w:rPr>
          <w:rFonts w:hint="eastAsia" w:eastAsia="宋体"/>
          <w:b/>
          <w:bCs/>
          <w:sz w:val="20"/>
          <w:szCs w:val="20"/>
          <w:lang w:val="en-US" w:eastAsia="zh-CN"/>
        </w:rPr>
        <w:t>RRT</w:t>
      </w:r>
      <w:r>
        <w:rPr>
          <w:rFonts w:hint="eastAsia" w:hAnsi="Cambria Math" w:eastAsia="宋体"/>
          <w:b/>
          <w:bCs/>
          <w:i w:val="0"/>
          <w:iCs/>
          <w:lang w:val="en-US" w:eastAsia="zh-CN"/>
        </w:rPr>
        <w:t xml:space="preserve"> can be as baseline or a starting point. </w:t>
      </w:r>
    </w:p>
    <w:p>
      <w:pPr>
        <w:pStyle w:val="74"/>
        <w:numPr>
          <w:ilvl w:val="0"/>
          <w:numId w:val="0"/>
        </w:numPr>
        <w:ind w:left="360" w:hanging="360"/>
        <w:rPr>
          <w:lang w:val="en-US"/>
        </w:rPr>
      </w:pPr>
      <w:r>
        <w:rPr>
          <w:lang w:val="en-US"/>
        </w:rPr>
        <w:t>References</w:t>
      </w:r>
    </w:p>
    <w:p>
      <w:pPr>
        <w:pStyle w:val="70"/>
        <w:numPr>
          <w:ilvl w:val="0"/>
          <w:numId w:val="6"/>
        </w:numPr>
        <w:ind w:right="-22"/>
      </w:pPr>
      <w:bookmarkStart w:id="0" w:name="_Ref114500673"/>
      <w:bookmarkEnd w:id="0"/>
      <w:r>
        <w:t>RP-2</w:t>
      </w:r>
      <w:r>
        <w:rPr>
          <w:rFonts w:hint="eastAsia" w:eastAsia="宋体"/>
          <w:lang w:val="en-US" w:eastAsia="zh-CN"/>
        </w:rPr>
        <w:t>30328</w:t>
      </w:r>
      <w:r>
        <w:t>, “</w:t>
      </w:r>
      <w:r>
        <w:rPr>
          <w:rFonts w:hint="eastAsia"/>
        </w:rPr>
        <w:t>New WID on Expanded and Improved NR Positioning</w:t>
      </w:r>
      <w:r>
        <w:t>”, Intel Corporation</w:t>
      </w:r>
    </w:p>
    <w:p>
      <w:pPr>
        <w:pStyle w:val="70"/>
        <w:numPr>
          <w:ilvl w:val="0"/>
          <w:numId w:val="6"/>
        </w:numPr>
        <w:ind w:right="-22"/>
      </w:pPr>
      <w:r>
        <w:t>R4-2</w:t>
      </w:r>
      <w:r>
        <w:rPr>
          <w:rFonts w:hint="eastAsia" w:eastAsia="宋体"/>
          <w:lang w:val="en-US" w:eastAsia="zh-CN"/>
        </w:rPr>
        <w:t>303190</w:t>
      </w:r>
      <w:r>
        <w:t xml:space="preserve">, “WF on expanded and improved NR positioning study”, </w:t>
      </w:r>
      <w:r>
        <w:rPr>
          <w:rFonts w:hint="eastAsia" w:eastAsia="宋体"/>
          <w:lang w:val="en-US" w:eastAsia="zh-CN"/>
        </w:rPr>
        <w:t>Ericsson</w:t>
      </w:r>
    </w:p>
    <w:p>
      <w:pPr>
        <w:pStyle w:val="70"/>
        <w:numPr>
          <w:ilvl w:val="0"/>
          <w:numId w:val="6"/>
        </w:numPr>
        <w:ind w:right="-22"/>
      </w:pPr>
      <w:r>
        <w:t xml:space="preserve">3GPP </w:t>
      </w:r>
      <w:r>
        <w:rPr>
          <w:rFonts w:hint="eastAsia" w:eastAsia="宋体"/>
          <w:lang w:val="en-US" w:eastAsia="zh-CN"/>
        </w:rPr>
        <w:t>TS 38.133</w:t>
      </w:r>
      <w:r>
        <w:t xml:space="preserve"> </w:t>
      </w:r>
    </w:p>
    <w:p>
      <w:pPr>
        <w:pStyle w:val="70"/>
        <w:numPr>
          <w:ilvl w:val="0"/>
          <w:numId w:val="6"/>
        </w:numPr>
        <w:ind w:right="-22"/>
        <w:rPr>
          <w:lang w:val="en-US"/>
        </w:rPr>
      </w:pPr>
      <w:r>
        <w:rPr>
          <w:rFonts w:hint="eastAsia"/>
        </w:rPr>
        <w:t>R1-2</w:t>
      </w:r>
      <w:r>
        <w:rPr>
          <w:rFonts w:hint="eastAsia" w:eastAsia="宋体"/>
          <w:lang w:val="en-US" w:eastAsia="zh-CN"/>
        </w:rPr>
        <w:t xml:space="preserve">300808, </w:t>
      </w:r>
      <w:r>
        <w:rPr>
          <w:rFonts w:hint="default" w:eastAsia="宋体"/>
          <w:lang w:val="en-US" w:eastAsia="zh-CN"/>
        </w:rPr>
        <w:t>“</w:t>
      </w:r>
      <w:r>
        <w:rPr>
          <w:rFonts w:hint="eastAsia"/>
        </w:rPr>
        <w:t>Discussion on Positioning for RedCap UEs</w:t>
      </w:r>
      <w:r>
        <w:rPr>
          <w:rFonts w:hint="default" w:eastAsia="宋体"/>
          <w:lang w:val="en-US" w:eastAsia="zh-CN"/>
        </w:rPr>
        <w:t>”</w:t>
      </w:r>
      <w:r>
        <w:rPr>
          <w:rFonts w:hint="eastAsia" w:eastAsia="宋体"/>
          <w:lang w:val="en-US" w:eastAsia="zh-CN"/>
        </w:rPr>
        <w:t>, ZTE Corporation.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1F52C"/>
    <w:multiLevelType w:val="singleLevel"/>
    <w:tmpl w:val="9921F52C"/>
    <w:lvl w:ilvl="0" w:tentative="0">
      <w:start w:val="1"/>
      <w:numFmt w:val="decimal"/>
      <w:suff w:val="space"/>
      <w:lvlText w:val="(%1)"/>
      <w:lvlJc w:val="left"/>
    </w:lvl>
  </w:abstractNum>
  <w:abstractNum w:abstractNumId="1">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2A47811"/>
    <w:multiLevelType w:val="multilevel"/>
    <w:tmpl w:val="62A47811"/>
    <w:lvl w:ilvl="0" w:tentative="0">
      <w:start w:val="1"/>
      <w:numFmt w:val="bullet"/>
      <w:lvlText w:val=""/>
      <w:lvlJc w:val="left"/>
      <w:pPr>
        <w:ind w:left="216" w:hanging="360"/>
      </w:pPr>
      <w:rPr>
        <w:rFonts w:hint="default" w:ascii="Symbol" w:hAnsi="Symbol"/>
      </w:rPr>
    </w:lvl>
    <w:lvl w:ilvl="1" w:tentative="0">
      <w:start w:val="1"/>
      <w:numFmt w:val="bullet"/>
      <w:lvlText w:val="o"/>
      <w:lvlJc w:val="left"/>
      <w:pPr>
        <w:ind w:left="936" w:hanging="360"/>
      </w:pPr>
      <w:rPr>
        <w:rFonts w:hint="default" w:ascii="Courier New" w:hAnsi="Courier New" w:cs="Courier New"/>
      </w:rPr>
    </w:lvl>
    <w:lvl w:ilvl="2" w:tentative="0">
      <w:start w:val="1"/>
      <w:numFmt w:val="bullet"/>
      <w:lvlText w:val=""/>
      <w:lvlJc w:val="left"/>
      <w:pPr>
        <w:ind w:left="1656" w:hanging="360"/>
      </w:pPr>
      <w:rPr>
        <w:rFonts w:hint="default" w:ascii="Wingdings" w:hAnsi="Wingdings"/>
      </w:rPr>
    </w:lvl>
    <w:lvl w:ilvl="3" w:tentative="0">
      <w:start w:val="1"/>
      <w:numFmt w:val="bullet"/>
      <w:lvlText w:val=""/>
      <w:lvlJc w:val="left"/>
      <w:pPr>
        <w:ind w:left="2376" w:hanging="360"/>
      </w:pPr>
      <w:rPr>
        <w:rFonts w:hint="default" w:ascii="Symbol" w:hAnsi="Symbol"/>
      </w:rPr>
    </w:lvl>
    <w:lvl w:ilvl="4" w:tentative="0">
      <w:start w:val="1"/>
      <w:numFmt w:val="bullet"/>
      <w:lvlText w:val="o"/>
      <w:lvlJc w:val="left"/>
      <w:pPr>
        <w:ind w:left="3096" w:hanging="360"/>
      </w:pPr>
      <w:rPr>
        <w:rFonts w:hint="default" w:ascii="Courier New" w:hAnsi="Courier New" w:cs="Courier New"/>
      </w:rPr>
    </w:lvl>
    <w:lvl w:ilvl="5" w:tentative="0">
      <w:start w:val="1"/>
      <w:numFmt w:val="bullet"/>
      <w:lvlText w:val=""/>
      <w:lvlJc w:val="left"/>
      <w:pPr>
        <w:ind w:left="3816" w:hanging="360"/>
      </w:pPr>
      <w:rPr>
        <w:rFonts w:hint="default" w:ascii="Wingdings" w:hAnsi="Wingdings"/>
      </w:rPr>
    </w:lvl>
    <w:lvl w:ilvl="6" w:tentative="0">
      <w:start w:val="1"/>
      <w:numFmt w:val="bullet"/>
      <w:lvlText w:val=""/>
      <w:lvlJc w:val="left"/>
      <w:pPr>
        <w:ind w:left="4536" w:hanging="360"/>
      </w:pPr>
      <w:rPr>
        <w:rFonts w:hint="default" w:ascii="Symbol" w:hAnsi="Symbol"/>
      </w:rPr>
    </w:lvl>
    <w:lvl w:ilvl="7" w:tentative="0">
      <w:start w:val="1"/>
      <w:numFmt w:val="bullet"/>
      <w:lvlText w:val="o"/>
      <w:lvlJc w:val="left"/>
      <w:pPr>
        <w:ind w:left="5256" w:hanging="360"/>
      </w:pPr>
      <w:rPr>
        <w:rFonts w:hint="default" w:ascii="Courier New" w:hAnsi="Courier New" w:cs="Courier New"/>
      </w:rPr>
    </w:lvl>
    <w:lvl w:ilvl="8" w:tentative="0">
      <w:start w:val="1"/>
      <w:numFmt w:val="bullet"/>
      <w:lvlText w:val=""/>
      <w:lvlJc w:val="left"/>
      <w:pPr>
        <w:ind w:left="5976" w:hanging="360"/>
      </w:pPr>
      <w:rPr>
        <w:rFonts w:hint="default" w:ascii="Wingdings" w:hAnsi="Wingdings"/>
      </w:rPr>
    </w:lvl>
  </w:abstractNum>
  <w:abstractNum w:abstractNumId="5">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857D0"/>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16D38"/>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001977"/>
    <w:rsid w:val="015B2753"/>
    <w:rsid w:val="01907C39"/>
    <w:rsid w:val="027313F4"/>
    <w:rsid w:val="02B51BBB"/>
    <w:rsid w:val="02C95CB6"/>
    <w:rsid w:val="02F606FB"/>
    <w:rsid w:val="046301A2"/>
    <w:rsid w:val="04E13F4A"/>
    <w:rsid w:val="05945A70"/>
    <w:rsid w:val="05DB67C3"/>
    <w:rsid w:val="065D2B80"/>
    <w:rsid w:val="06931491"/>
    <w:rsid w:val="06A745C7"/>
    <w:rsid w:val="07150A56"/>
    <w:rsid w:val="074C4045"/>
    <w:rsid w:val="075560E1"/>
    <w:rsid w:val="076170B1"/>
    <w:rsid w:val="0770409A"/>
    <w:rsid w:val="0771776A"/>
    <w:rsid w:val="0788005C"/>
    <w:rsid w:val="079F65E1"/>
    <w:rsid w:val="07EC1E65"/>
    <w:rsid w:val="07F66AC5"/>
    <w:rsid w:val="080843A7"/>
    <w:rsid w:val="081420BA"/>
    <w:rsid w:val="081732C0"/>
    <w:rsid w:val="081934D2"/>
    <w:rsid w:val="08230CD1"/>
    <w:rsid w:val="084375F1"/>
    <w:rsid w:val="084C657D"/>
    <w:rsid w:val="08D850A7"/>
    <w:rsid w:val="093B5571"/>
    <w:rsid w:val="09502F64"/>
    <w:rsid w:val="095D3816"/>
    <w:rsid w:val="09606948"/>
    <w:rsid w:val="096E0D4F"/>
    <w:rsid w:val="09851B6E"/>
    <w:rsid w:val="09D57D44"/>
    <w:rsid w:val="0A6C3BCC"/>
    <w:rsid w:val="0ABC02E8"/>
    <w:rsid w:val="0B1B3502"/>
    <w:rsid w:val="0B3F6621"/>
    <w:rsid w:val="0B4671D4"/>
    <w:rsid w:val="0B4D684B"/>
    <w:rsid w:val="0B6A4840"/>
    <w:rsid w:val="0B707256"/>
    <w:rsid w:val="0C0D74EA"/>
    <w:rsid w:val="0CC050E4"/>
    <w:rsid w:val="0D377674"/>
    <w:rsid w:val="0D8972A3"/>
    <w:rsid w:val="0DB32C3B"/>
    <w:rsid w:val="0E19723F"/>
    <w:rsid w:val="0E380A24"/>
    <w:rsid w:val="0E777792"/>
    <w:rsid w:val="0E830A04"/>
    <w:rsid w:val="0F025E2E"/>
    <w:rsid w:val="0F503AEA"/>
    <w:rsid w:val="0F511411"/>
    <w:rsid w:val="0FB63F96"/>
    <w:rsid w:val="0FDB4972"/>
    <w:rsid w:val="0FDE4688"/>
    <w:rsid w:val="10347810"/>
    <w:rsid w:val="103B0BB7"/>
    <w:rsid w:val="108E7014"/>
    <w:rsid w:val="10AB2774"/>
    <w:rsid w:val="10BA071A"/>
    <w:rsid w:val="10BB3068"/>
    <w:rsid w:val="10C531CC"/>
    <w:rsid w:val="11846297"/>
    <w:rsid w:val="119121B0"/>
    <w:rsid w:val="11A35E1B"/>
    <w:rsid w:val="11EE75FC"/>
    <w:rsid w:val="12140642"/>
    <w:rsid w:val="12C003F7"/>
    <w:rsid w:val="12D01E4D"/>
    <w:rsid w:val="13BC0669"/>
    <w:rsid w:val="13C23A1B"/>
    <w:rsid w:val="13F7240D"/>
    <w:rsid w:val="142A2204"/>
    <w:rsid w:val="14371410"/>
    <w:rsid w:val="14785DC8"/>
    <w:rsid w:val="14870081"/>
    <w:rsid w:val="14A63B80"/>
    <w:rsid w:val="14AA405D"/>
    <w:rsid w:val="14ED22D6"/>
    <w:rsid w:val="15506D61"/>
    <w:rsid w:val="155326B6"/>
    <w:rsid w:val="156F0207"/>
    <w:rsid w:val="15950B53"/>
    <w:rsid w:val="160A464F"/>
    <w:rsid w:val="1646133C"/>
    <w:rsid w:val="169A4ADB"/>
    <w:rsid w:val="16AE0E1D"/>
    <w:rsid w:val="16CD4CA5"/>
    <w:rsid w:val="16E84E9D"/>
    <w:rsid w:val="170716B6"/>
    <w:rsid w:val="17104EF2"/>
    <w:rsid w:val="1743780F"/>
    <w:rsid w:val="176F3F08"/>
    <w:rsid w:val="17893151"/>
    <w:rsid w:val="17D01F3A"/>
    <w:rsid w:val="17FF14ED"/>
    <w:rsid w:val="18182045"/>
    <w:rsid w:val="185A42FA"/>
    <w:rsid w:val="18C56218"/>
    <w:rsid w:val="18E96032"/>
    <w:rsid w:val="18EE62E8"/>
    <w:rsid w:val="1950368A"/>
    <w:rsid w:val="19551A74"/>
    <w:rsid w:val="195C2D9C"/>
    <w:rsid w:val="195C5EE2"/>
    <w:rsid w:val="197C2433"/>
    <w:rsid w:val="19E63935"/>
    <w:rsid w:val="1A2553BA"/>
    <w:rsid w:val="1A4B3289"/>
    <w:rsid w:val="1A4D6BF2"/>
    <w:rsid w:val="1AC00EA3"/>
    <w:rsid w:val="1AC56317"/>
    <w:rsid w:val="1AED3950"/>
    <w:rsid w:val="1B160E7E"/>
    <w:rsid w:val="1B1629A3"/>
    <w:rsid w:val="1B205FA2"/>
    <w:rsid w:val="1B481120"/>
    <w:rsid w:val="1B777BC9"/>
    <w:rsid w:val="1B953EDB"/>
    <w:rsid w:val="1B990279"/>
    <w:rsid w:val="1B9B4E1C"/>
    <w:rsid w:val="1B9C50E9"/>
    <w:rsid w:val="1BA81597"/>
    <w:rsid w:val="1BAD4429"/>
    <w:rsid w:val="1BB70BBD"/>
    <w:rsid w:val="1BB80557"/>
    <w:rsid w:val="1C0B698F"/>
    <w:rsid w:val="1C0C6E69"/>
    <w:rsid w:val="1CB268C2"/>
    <w:rsid w:val="1CCF51EB"/>
    <w:rsid w:val="1D22356C"/>
    <w:rsid w:val="1D7B4A08"/>
    <w:rsid w:val="1DB553DF"/>
    <w:rsid w:val="1DCB451E"/>
    <w:rsid w:val="1DE404AA"/>
    <w:rsid w:val="1E0629D4"/>
    <w:rsid w:val="1E194EC7"/>
    <w:rsid w:val="1E2433EA"/>
    <w:rsid w:val="1E4D0499"/>
    <w:rsid w:val="1EAD4127"/>
    <w:rsid w:val="1EB8797A"/>
    <w:rsid w:val="1EBE426B"/>
    <w:rsid w:val="1ED004D7"/>
    <w:rsid w:val="1EEF3FAB"/>
    <w:rsid w:val="1F25251D"/>
    <w:rsid w:val="1F2F4901"/>
    <w:rsid w:val="1F3F1CC1"/>
    <w:rsid w:val="1F430FAA"/>
    <w:rsid w:val="1F7E201D"/>
    <w:rsid w:val="1FBB5482"/>
    <w:rsid w:val="1FF9177B"/>
    <w:rsid w:val="200D64BE"/>
    <w:rsid w:val="201631AC"/>
    <w:rsid w:val="202D06F1"/>
    <w:rsid w:val="20584BED"/>
    <w:rsid w:val="20BA76B8"/>
    <w:rsid w:val="20CC3675"/>
    <w:rsid w:val="21361FB5"/>
    <w:rsid w:val="214B3D89"/>
    <w:rsid w:val="21575426"/>
    <w:rsid w:val="215927EC"/>
    <w:rsid w:val="2177769E"/>
    <w:rsid w:val="220E35F0"/>
    <w:rsid w:val="22C261AA"/>
    <w:rsid w:val="22D35705"/>
    <w:rsid w:val="230D3451"/>
    <w:rsid w:val="238C0530"/>
    <w:rsid w:val="238E333F"/>
    <w:rsid w:val="23DA46E8"/>
    <w:rsid w:val="240D67D9"/>
    <w:rsid w:val="2423003F"/>
    <w:rsid w:val="247C113F"/>
    <w:rsid w:val="24C24AA3"/>
    <w:rsid w:val="25177C5D"/>
    <w:rsid w:val="253E5739"/>
    <w:rsid w:val="25425A19"/>
    <w:rsid w:val="25747F7E"/>
    <w:rsid w:val="25AB3D1C"/>
    <w:rsid w:val="25FA44CF"/>
    <w:rsid w:val="26274BB6"/>
    <w:rsid w:val="262F0D25"/>
    <w:rsid w:val="26AA20D3"/>
    <w:rsid w:val="26F81EB4"/>
    <w:rsid w:val="271F0AE2"/>
    <w:rsid w:val="27310B9A"/>
    <w:rsid w:val="273E1C11"/>
    <w:rsid w:val="27446B14"/>
    <w:rsid w:val="27D65541"/>
    <w:rsid w:val="27EC5FCE"/>
    <w:rsid w:val="28417461"/>
    <w:rsid w:val="284A4107"/>
    <w:rsid w:val="285E3673"/>
    <w:rsid w:val="28671C46"/>
    <w:rsid w:val="2869013D"/>
    <w:rsid w:val="28825243"/>
    <w:rsid w:val="288D20D6"/>
    <w:rsid w:val="28AB4A54"/>
    <w:rsid w:val="28F045AC"/>
    <w:rsid w:val="29111799"/>
    <w:rsid w:val="29572CC9"/>
    <w:rsid w:val="29A94854"/>
    <w:rsid w:val="29D60A95"/>
    <w:rsid w:val="29FC5FF6"/>
    <w:rsid w:val="2A057813"/>
    <w:rsid w:val="2A2D73EC"/>
    <w:rsid w:val="2AA369DD"/>
    <w:rsid w:val="2ACD3A4B"/>
    <w:rsid w:val="2AE344A2"/>
    <w:rsid w:val="2B2F3E49"/>
    <w:rsid w:val="2B9B274A"/>
    <w:rsid w:val="2BD376AF"/>
    <w:rsid w:val="2BE00F0D"/>
    <w:rsid w:val="2C2466CA"/>
    <w:rsid w:val="2C44507A"/>
    <w:rsid w:val="2CF06E1D"/>
    <w:rsid w:val="2CF96227"/>
    <w:rsid w:val="2D8C4EE2"/>
    <w:rsid w:val="2E046FDE"/>
    <w:rsid w:val="2E106E4C"/>
    <w:rsid w:val="2E5E508C"/>
    <w:rsid w:val="2E7F52E5"/>
    <w:rsid w:val="2EC16714"/>
    <w:rsid w:val="2F1A1BC0"/>
    <w:rsid w:val="2F2B12A9"/>
    <w:rsid w:val="2F6E6454"/>
    <w:rsid w:val="2FC73BC7"/>
    <w:rsid w:val="2FE5590A"/>
    <w:rsid w:val="30160ACC"/>
    <w:rsid w:val="30944718"/>
    <w:rsid w:val="30D36634"/>
    <w:rsid w:val="317812C7"/>
    <w:rsid w:val="31B9498A"/>
    <w:rsid w:val="31E80CE4"/>
    <w:rsid w:val="320C562E"/>
    <w:rsid w:val="327A1E1C"/>
    <w:rsid w:val="3302588C"/>
    <w:rsid w:val="33106E3B"/>
    <w:rsid w:val="335641CF"/>
    <w:rsid w:val="339C1000"/>
    <w:rsid w:val="34045F88"/>
    <w:rsid w:val="34B464B0"/>
    <w:rsid w:val="34E212A0"/>
    <w:rsid w:val="35175003"/>
    <w:rsid w:val="35290A77"/>
    <w:rsid w:val="356A601B"/>
    <w:rsid w:val="359D35CE"/>
    <w:rsid w:val="35E00D22"/>
    <w:rsid w:val="35E85F18"/>
    <w:rsid w:val="36225127"/>
    <w:rsid w:val="36237E20"/>
    <w:rsid w:val="36323F24"/>
    <w:rsid w:val="36DD1D55"/>
    <w:rsid w:val="376C5D00"/>
    <w:rsid w:val="377F4E51"/>
    <w:rsid w:val="382523BD"/>
    <w:rsid w:val="38496E76"/>
    <w:rsid w:val="3853092C"/>
    <w:rsid w:val="38BF28AA"/>
    <w:rsid w:val="38CE6724"/>
    <w:rsid w:val="38D33EE0"/>
    <w:rsid w:val="38DD04E8"/>
    <w:rsid w:val="391D5BB5"/>
    <w:rsid w:val="39D3500A"/>
    <w:rsid w:val="39E55169"/>
    <w:rsid w:val="3A3F2E68"/>
    <w:rsid w:val="3A835248"/>
    <w:rsid w:val="3AA02CE4"/>
    <w:rsid w:val="3AB8281F"/>
    <w:rsid w:val="3AD1508C"/>
    <w:rsid w:val="3AD31906"/>
    <w:rsid w:val="3AE55A2B"/>
    <w:rsid w:val="3B61770F"/>
    <w:rsid w:val="3B802DB5"/>
    <w:rsid w:val="3BFA4763"/>
    <w:rsid w:val="3C2657B0"/>
    <w:rsid w:val="3C8A7DDC"/>
    <w:rsid w:val="3CAF6FEC"/>
    <w:rsid w:val="3CBD75BF"/>
    <w:rsid w:val="3D011447"/>
    <w:rsid w:val="3D5162D2"/>
    <w:rsid w:val="3D555673"/>
    <w:rsid w:val="3D876DDA"/>
    <w:rsid w:val="3D8D556E"/>
    <w:rsid w:val="3DC272D3"/>
    <w:rsid w:val="3DF55B8D"/>
    <w:rsid w:val="3E107D6A"/>
    <w:rsid w:val="3E2818E7"/>
    <w:rsid w:val="3E320B89"/>
    <w:rsid w:val="3E602AA9"/>
    <w:rsid w:val="3E7D2B87"/>
    <w:rsid w:val="3EF13BC7"/>
    <w:rsid w:val="3F395BA4"/>
    <w:rsid w:val="3F6836C5"/>
    <w:rsid w:val="3FB137E9"/>
    <w:rsid w:val="40043699"/>
    <w:rsid w:val="4057140E"/>
    <w:rsid w:val="40AF0485"/>
    <w:rsid w:val="40D34024"/>
    <w:rsid w:val="411B4BC1"/>
    <w:rsid w:val="41366B89"/>
    <w:rsid w:val="41771599"/>
    <w:rsid w:val="41851C58"/>
    <w:rsid w:val="420558C2"/>
    <w:rsid w:val="42FF71DC"/>
    <w:rsid w:val="4343531D"/>
    <w:rsid w:val="437A6C15"/>
    <w:rsid w:val="43B22FB4"/>
    <w:rsid w:val="43BD5DE5"/>
    <w:rsid w:val="43C26B7B"/>
    <w:rsid w:val="444D54BA"/>
    <w:rsid w:val="447948F5"/>
    <w:rsid w:val="44A7496E"/>
    <w:rsid w:val="44B36E39"/>
    <w:rsid w:val="44B62BB0"/>
    <w:rsid w:val="44EC7013"/>
    <w:rsid w:val="450F4EF6"/>
    <w:rsid w:val="45427AA4"/>
    <w:rsid w:val="455B6233"/>
    <w:rsid w:val="45DC3A4F"/>
    <w:rsid w:val="46A9603F"/>
    <w:rsid w:val="46DF702F"/>
    <w:rsid w:val="479F204D"/>
    <w:rsid w:val="48153BEB"/>
    <w:rsid w:val="481549BD"/>
    <w:rsid w:val="481749B5"/>
    <w:rsid w:val="48537C3E"/>
    <w:rsid w:val="48954080"/>
    <w:rsid w:val="48965075"/>
    <w:rsid w:val="48CB1CC0"/>
    <w:rsid w:val="49363170"/>
    <w:rsid w:val="49574EFB"/>
    <w:rsid w:val="49582843"/>
    <w:rsid w:val="499305D6"/>
    <w:rsid w:val="499975A6"/>
    <w:rsid w:val="49B7193C"/>
    <w:rsid w:val="49C8100A"/>
    <w:rsid w:val="4A2B1E2F"/>
    <w:rsid w:val="4A7758D0"/>
    <w:rsid w:val="4A885CE1"/>
    <w:rsid w:val="4B206934"/>
    <w:rsid w:val="4B571928"/>
    <w:rsid w:val="4B7C30DE"/>
    <w:rsid w:val="4C232A36"/>
    <w:rsid w:val="4C315980"/>
    <w:rsid w:val="4C4D50A9"/>
    <w:rsid w:val="4C6F66E5"/>
    <w:rsid w:val="4C8535A1"/>
    <w:rsid w:val="4CB8134C"/>
    <w:rsid w:val="4CBB3980"/>
    <w:rsid w:val="4CD362B7"/>
    <w:rsid w:val="4CEB6585"/>
    <w:rsid w:val="4DF22D6C"/>
    <w:rsid w:val="4DFA799E"/>
    <w:rsid w:val="4E3E6F9A"/>
    <w:rsid w:val="4E5A4D05"/>
    <w:rsid w:val="4E993495"/>
    <w:rsid w:val="4EB2058C"/>
    <w:rsid w:val="4EE52BDF"/>
    <w:rsid w:val="4EFD0BFD"/>
    <w:rsid w:val="4F077813"/>
    <w:rsid w:val="4F1B2096"/>
    <w:rsid w:val="4F1D369F"/>
    <w:rsid w:val="4F290247"/>
    <w:rsid w:val="4F433DC8"/>
    <w:rsid w:val="4FA14EEC"/>
    <w:rsid w:val="4FF77B7C"/>
    <w:rsid w:val="508364E6"/>
    <w:rsid w:val="50A76FD6"/>
    <w:rsid w:val="50D77D3F"/>
    <w:rsid w:val="51286AE9"/>
    <w:rsid w:val="5173229A"/>
    <w:rsid w:val="519543C4"/>
    <w:rsid w:val="51AD4C9E"/>
    <w:rsid w:val="51B463DB"/>
    <w:rsid w:val="51BD3871"/>
    <w:rsid w:val="51F22CAB"/>
    <w:rsid w:val="520F3488"/>
    <w:rsid w:val="52853336"/>
    <w:rsid w:val="52881D50"/>
    <w:rsid w:val="52B368E2"/>
    <w:rsid w:val="52CF523D"/>
    <w:rsid w:val="52E63E0D"/>
    <w:rsid w:val="534257EE"/>
    <w:rsid w:val="53463941"/>
    <w:rsid w:val="536B736B"/>
    <w:rsid w:val="53707DDE"/>
    <w:rsid w:val="539B74BF"/>
    <w:rsid w:val="53D41A3B"/>
    <w:rsid w:val="53EE67E9"/>
    <w:rsid w:val="541411EB"/>
    <w:rsid w:val="54591CDE"/>
    <w:rsid w:val="545D1AE0"/>
    <w:rsid w:val="548D68BC"/>
    <w:rsid w:val="54E810AB"/>
    <w:rsid w:val="55274423"/>
    <w:rsid w:val="5589190F"/>
    <w:rsid w:val="55B557FB"/>
    <w:rsid w:val="55FF0C13"/>
    <w:rsid w:val="5652511E"/>
    <w:rsid w:val="56832D98"/>
    <w:rsid w:val="56BB6658"/>
    <w:rsid w:val="56FB2168"/>
    <w:rsid w:val="5739320B"/>
    <w:rsid w:val="576542B7"/>
    <w:rsid w:val="57951AEF"/>
    <w:rsid w:val="57B86D4C"/>
    <w:rsid w:val="57C568C3"/>
    <w:rsid w:val="57EF2E78"/>
    <w:rsid w:val="58510290"/>
    <w:rsid w:val="585572BE"/>
    <w:rsid w:val="58C64CF3"/>
    <w:rsid w:val="58CB3B78"/>
    <w:rsid w:val="58CE0517"/>
    <w:rsid w:val="592375BD"/>
    <w:rsid w:val="593402DA"/>
    <w:rsid w:val="59D746F5"/>
    <w:rsid w:val="59E2436D"/>
    <w:rsid w:val="5A046FEE"/>
    <w:rsid w:val="5A4A6B8D"/>
    <w:rsid w:val="5A723A0D"/>
    <w:rsid w:val="5A762255"/>
    <w:rsid w:val="5A9D621A"/>
    <w:rsid w:val="5ACF40CD"/>
    <w:rsid w:val="5AEE34FF"/>
    <w:rsid w:val="5B760457"/>
    <w:rsid w:val="5B7E0E98"/>
    <w:rsid w:val="5BD637EC"/>
    <w:rsid w:val="5BDC6102"/>
    <w:rsid w:val="5BDE562E"/>
    <w:rsid w:val="5BDE5A43"/>
    <w:rsid w:val="5C087812"/>
    <w:rsid w:val="5C34166A"/>
    <w:rsid w:val="5C431892"/>
    <w:rsid w:val="5C7A69B1"/>
    <w:rsid w:val="5CA756EA"/>
    <w:rsid w:val="5D230368"/>
    <w:rsid w:val="5D4123BC"/>
    <w:rsid w:val="5D4C70F1"/>
    <w:rsid w:val="5D6136AF"/>
    <w:rsid w:val="5DAC2A03"/>
    <w:rsid w:val="5DDC0079"/>
    <w:rsid w:val="5E1463C6"/>
    <w:rsid w:val="5E202510"/>
    <w:rsid w:val="5E6C6F50"/>
    <w:rsid w:val="5F1778BF"/>
    <w:rsid w:val="5F6F1600"/>
    <w:rsid w:val="5F892553"/>
    <w:rsid w:val="5FA75162"/>
    <w:rsid w:val="5FCE12C6"/>
    <w:rsid w:val="5FF07432"/>
    <w:rsid w:val="5FF36B68"/>
    <w:rsid w:val="5FF94643"/>
    <w:rsid w:val="606F0CB1"/>
    <w:rsid w:val="607A4BA9"/>
    <w:rsid w:val="60A859A2"/>
    <w:rsid w:val="60A90040"/>
    <w:rsid w:val="60D94311"/>
    <w:rsid w:val="60F83A81"/>
    <w:rsid w:val="612B6AD8"/>
    <w:rsid w:val="61AA6C54"/>
    <w:rsid w:val="61FA35AD"/>
    <w:rsid w:val="62106F71"/>
    <w:rsid w:val="622E1F65"/>
    <w:rsid w:val="626E4F58"/>
    <w:rsid w:val="62F67597"/>
    <w:rsid w:val="62FB1D23"/>
    <w:rsid w:val="630C34D0"/>
    <w:rsid w:val="63E75F83"/>
    <w:rsid w:val="63EA5541"/>
    <w:rsid w:val="63F75B8A"/>
    <w:rsid w:val="64312F66"/>
    <w:rsid w:val="645E43B7"/>
    <w:rsid w:val="647F6D16"/>
    <w:rsid w:val="64A76E77"/>
    <w:rsid w:val="64EB1866"/>
    <w:rsid w:val="6525282B"/>
    <w:rsid w:val="65A240BE"/>
    <w:rsid w:val="65A273A9"/>
    <w:rsid w:val="65EB5C8A"/>
    <w:rsid w:val="6682104F"/>
    <w:rsid w:val="66C42438"/>
    <w:rsid w:val="671943EE"/>
    <w:rsid w:val="673E3C3E"/>
    <w:rsid w:val="674E06A1"/>
    <w:rsid w:val="679D7D9D"/>
    <w:rsid w:val="67B84A87"/>
    <w:rsid w:val="67C065EF"/>
    <w:rsid w:val="67E824D2"/>
    <w:rsid w:val="67F64762"/>
    <w:rsid w:val="681D108F"/>
    <w:rsid w:val="68452B15"/>
    <w:rsid w:val="685A52F7"/>
    <w:rsid w:val="68937F93"/>
    <w:rsid w:val="68A54006"/>
    <w:rsid w:val="68BA3542"/>
    <w:rsid w:val="68D42FFF"/>
    <w:rsid w:val="68E214A0"/>
    <w:rsid w:val="68E84B74"/>
    <w:rsid w:val="691212C3"/>
    <w:rsid w:val="6914516D"/>
    <w:rsid w:val="69D9569F"/>
    <w:rsid w:val="69F92C7D"/>
    <w:rsid w:val="6A3001E9"/>
    <w:rsid w:val="6A744564"/>
    <w:rsid w:val="6B0D2C77"/>
    <w:rsid w:val="6B8E2CC8"/>
    <w:rsid w:val="6BA6445F"/>
    <w:rsid w:val="6BB554FE"/>
    <w:rsid w:val="6BF65521"/>
    <w:rsid w:val="6BFE357B"/>
    <w:rsid w:val="6C1363EA"/>
    <w:rsid w:val="6C45204F"/>
    <w:rsid w:val="6C6F58E5"/>
    <w:rsid w:val="6C851E58"/>
    <w:rsid w:val="6C9803A4"/>
    <w:rsid w:val="6CD84C1C"/>
    <w:rsid w:val="6CFB043C"/>
    <w:rsid w:val="6D243939"/>
    <w:rsid w:val="6D377DBC"/>
    <w:rsid w:val="6D447778"/>
    <w:rsid w:val="6D470009"/>
    <w:rsid w:val="6D84645E"/>
    <w:rsid w:val="6DF362B1"/>
    <w:rsid w:val="6E2607E4"/>
    <w:rsid w:val="6E295EDD"/>
    <w:rsid w:val="6E5261F1"/>
    <w:rsid w:val="6E7D48F4"/>
    <w:rsid w:val="6EE10B05"/>
    <w:rsid w:val="6F0472BB"/>
    <w:rsid w:val="6F5B3B07"/>
    <w:rsid w:val="6F5C3852"/>
    <w:rsid w:val="6F6C74CA"/>
    <w:rsid w:val="6F7A7501"/>
    <w:rsid w:val="6FAD5E72"/>
    <w:rsid w:val="6FCC50AE"/>
    <w:rsid w:val="6FE54985"/>
    <w:rsid w:val="70C410F0"/>
    <w:rsid w:val="718D5CB8"/>
    <w:rsid w:val="71B752EE"/>
    <w:rsid w:val="724062B5"/>
    <w:rsid w:val="724128A7"/>
    <w:rsid w:val="72700C83"/>
    <w:rsid w:val="729305D4"/>
    <w:rsid w:val="72E54624"/>
    <w:rsid w:val="74044161"/>
    <w:rsid w:val="744446C4"/>
    <w:rsid w:val="744E6EF3"/>
    <w:rsid w:val="74EE31EA"/>
    <w:rsid w:val="751D12C7"/>
    <w:rsid w:val="753254A3"/>
    <w:rsid w:val="754E6BAB"/>
    <w:rsid w:val="75810DBF"/>
    <w:rsid w:val="75842DFC"/>
    <w:rsid w:val="75930C78"/>
    <w:rsid w:val="75BE0722"/>
    <w:rsid w:val="75E206DF"/>
    <w:rsid w:val="75F15033"/>
    <w:rsid w:val="75F520B4"/>
    <w:rsid w:val="75FF703E"/>
    <w:rsid w:val="762441D9"/>
    <w:rsid w:val="762B689E"/>
    <w:rsid w:val="76317A33"/>
    <w:rsid w:val="764674C4"/>
    <w:rsid w:val="769B4474"/>
    <w:rsid w:val="77247924"/>
    <w:rsid w:val="7726248F"/>
    <w:rsid w:val="77D62A56"/>
    <w:rsid w:val="77E62733"/>
    <w:rsid w:val="77F84B71"/>
    <w:rsid w:val="78293DC3"/>
    <w:rsid w:val="784A3CE5"/>
    <w:rsid w:val="785D218D"/>
    <w:rsid w:val="78CB0936"/>
    <w:rsid w:val="78E17666"/>
    <w:rsid w:val="78EF19AD"/>
    <w:rsid w:val="790D00E3"/>
    <w:rsid w:val="79307089"/>
    <w:rsid w:val="793B50DD"/>
    <w:rsid w:val="79A56DCA"/>
    <w:rsid w:val="79A86542"/>
    <w:rsid w:val="7A3A078E"/>
    <w:rsid w:val="7A3D52B9"/>
    <w:rsid w:val="7A817A12"/>
    <w:rsid w:val="7A850292"/>
    <w:rsid w:val="7AA81F86"/>
    <w:rsid w:val="7AC528C4"/>
    <w:rsid w:val="7B0320BB"/>
    <w:rsid w:val="7B146F35"/>
    <w:rsid w:val="7B5622D1"/>
    <w:rsid w:val="7B79223C"/>
    <w:rsid w:val="7B7F7226"/>
    <w:rsid w:val="7BCD7043"/>
    <w:rsid w:val="7BD77C15"/>
    <w:rsid w:val="7C120FB7"/>
    <w:rsid w:val="7C1C7594"/>
    <w:rsid w:val="7C664A02"/>
    <w:rsid w:val="7CC83605"/>
    <w:rsid w:val="7CEC648C"/>
    <w:rsid w:val="7DA13AAF"/>
    <w:rsid w:val="7DAA16F6"/>
    <w:rsid w:val="7E183EEA"/>
    <w:rsid w:val="7E855AE7"/>
    <w:rsid w:val="7E9D718F"/>
    <w:rsid w:val="7EC80D2A"/>
    <w:rsid w:val="7F912BF1"/>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List Paragraph1"/>
    <w:basedOn w:val="1"/>
    <w:qFormat/>
    <w:uiPriority w:val="34"/>
    <w:pPr>
      <w:widowControl w:val="0"/>
      <w:ind w:firstLine="420" w:firstLineChars="200"/>
      <w:jc w:val="both"/>
    </w:pPr>
    <w:rPr>
      <w:rFonts w:ascii="Times New Roman" w:hAnsi="Times New Roman"/>
      <w:kern w:val="2"/>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wmf"/><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2023-04-10T08:58:49Z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